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21EB56E6" w:rsidR="008A1C3C" w:rsidRPr="00231178" w:rsidRDefault="008A1C3C" w:rsidP="008A1C3C">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106</w:t>
      </w:r>
      <w:r>
        <w:rPr>
          <w:rFonts w:ascii="Arial" w:eastAsiaTheme="minorEastAsia" w:hAnsi="Arial" w:cs="Arial"/>
          <w:b/>
          <w:sz w:val="24"/>
          <w:szCs w:val="24"/>
          <w:lang w:eastAsia="zh-CN"/>
        </w:rPr>
        <w:t>bis-e</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AC58C0" w:rsidRPr="00AC58C0">
        <w:rPr>
          <w:rFonts w:ascii="Arial" w:eastAsiaTheme="minorEastAsia" w:hAnsi="Arial" w:cs="Arial"/>
          <w:b/>
          <w:sz w:val="24"/>
          <w:szCs w:val="24"/>
          <w:lang w:eastAsia="zh-CN"/>
        </w:rPr>
        <w:t>04488</w:t>
      </w:r>
    </w:p>
    <w:p w14:paraId="274A1076" w14:textId="77777777" w:rsidR="008A1C3C" w:rsidRDefault="008A1C3C" w:rsidP="008A1C3C">
      <w:pPr>
        <w:spacing w:after="120"/>
        <w:ind w:left="1985" w:hanging="1985"/>
        <w:rPr>
          <w:rFonts w:ascii="Arial" w:eastAsiaTheme="minorEastAsia" w:hAnsi="Arial" w:cs="Arial"/>
          <w:b/>
          <w:sz w:val="24"/>
          <w:szCs w:val="24"/>
          <w:lang w:eastAsia="zh-CN"/>
        </w:rPr>
      </w:pPr>
      <w:r w:rsidRPr="005B5387">
        <w:rPr>
          <w:rFonts w:ascii="Arial" w:eastAsiaTheme="minorEastAsia" w:hAnsi="Arial" w:cs="Arial"/>
          <w:b/>
          <w:sz w:val="24"/>
          <w:szCs w:val="24"/>
          <w:lang w:eastAsia="zh-CN"/>
        </w:rPr>
        <w:t>Online, April 17 – April 26, 2023</w:t>
      </w:r>
      <w:bookmarkStart w:id="0" w:name="_GoBack"/>
      <w:bookmarkEnd w:id="0"/>
    </w:p>
    <w:p w14:paraId="5F66381C" w14:textId="77777777" w:rsidR="008A1C3C" w:rsidRPr="00231178" w:rsidRDefault="008A1C3C" w:rsidP="008A1C3C">
      <w:pPr>
        <w:spacing w:after="120"/>
        <w:ind w:left="1985" w:hanging="1985"/>
        <w:rPr>
          <w:rFonts w:ascii="Arial" w:eastAsia="MS Mincho" w:hAnsi="Arial" w:cs="Arial"/>
          <w:b/>
          <w:sz w:val="22"/>
        </w:rPr>
      </w:pPr>
    </w:p>
    <w:p w14:paraId="6F8381AE" w14:textId="28E6A2CF" w:rsidR="008A1C3C" w:rsidRPr="00231178"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5</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31</w:t>
      </w:r>
      <w:r w:rsidRPr="00231178">
        <w:rPr>
          <w:rFonts w:ascii="Arial" w:eastAsiaTheme="minorEastAsia" w:hAnsi="Arial" w:cs="Arial"/>
          <w:color w:val="000000"/>
          <w:sz w:val="22"/>
          <w:lang w:eastAsia="zh-CN"/>
        </w:rPr>
        <w:t>.</w:t>
      </w:r>
      <w:r w:rsidR="00AC58C0">
        <w:rPr>
          <w:rFonts w:ascii="Arial" w:eastAsiaTheme="minorEastAsia" w:hAnsi="Arial" w:cs="Arial"/>
          <w:color w:val="000000"/>
          <w:sz w:val="22"/>
          <w:lang w:eastAsia="zh-CN"/>
        </w:rPr>
        <w:t>2</w:t>
      </w:r>
      <w:r>
        <w:rPr>
          <w:rFonts w:ascii="Arial" w:eastAsiaTheme="minorEastAsia" w:hAnsi="Arial" w:cs="Arial"/>
          <w:color w:val="000000"/>
          <w:sz w:val="22"/>
          <w:lang w:eastAsia="zh-CN"/>
        </w:rPr>
        <w:t>.</w:t>
      </w:r>
      <w:r w:rsidR="00AC58C0">
        <w:rPr>
          <w:rFonts w:ascii="Arial" w:eastAsiaTheme="minorEastAsia" w:hAnsi="Arial" w:cs="Arial"/>
          <w:color w:val="000000"/>
          <w:sz w:val="22"/>
          <w:lang w:eastAsia="zh-CN"/>
        </w:rPr>
        <w:t>4</w:t>
      </w:r>
      <w:r>
        <w:rPr>
          <w:rFonts w:ascii="Arial" w:eastAsiaTheme="minorEastAsia" w:hAnsi="Arial" w:cs="Arial"/>
          <w:color w:val="000000"/>
          <w:sz w:val="22"/>
          <w:lang w:eastAsia="zh-CN"/>
        </w:rPr>
        <w:t xml:space="preserve"> </w:t>
      </w:r>
      <w:r w:rsidR="00D1789A" w:rsidRPr="00D1789A">
        <w:rPr>
          <w:rFonts w:ascii="Arial" w:eastAsiaTheme="minorEastAsia" w:hAnsi="Arial" w:cs="Arial"/>
          <w:color w:val="000000"/>
          <w:sz w:val="22"/>
          <w:lang w:eastAsia="zh-CN"/>
        </w:rPr>
        <w:t>Co-channel coexistence for LTE SL and NR SL</w:t>
      </w:r>
    </w:p>
    <w:p w14:paraId="2312E58D" w14:textId="77777777" w:rsidR="008A1C3C" w:rsidRPr="00231178" w:rsidRDefault="008A1C3C" w:rsidP="008A1C3C">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Pr="00231178">
        <w:rPr>
          <w:rFonts w:ascii="Arial" w:hAnsi="Arial" w:cs="Arial"/>
          <w:color w:val="000000"/>
          <w:sz w:val="22"/>
          <w:lang w:eastAsia="zh-CN"/>
        </w:rPr>
        <w:t>LG Electronics</w:t>
      </w:r>
    </w:p>
    <w:p w14:paraId="26FD1715" w14:textId="12A1AA46" w:rsidR="008A1C3C" w:rsidRPr="00231178"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Pr>
          <w:rFonts w:ascii="Arial" w:eastAsia="MS Mincho" w:hAnsi="Arial" w:cs="Arial"/>
          <w:color w:val="000000"/>
          <w:sz w:val="22"/>
        </w:rPr>
        <w:t xml:space="preserve">On </w:t>
      </w:r>
      <w:r w:rsidR="00D1789A" w:rsidRPr="00D1789A">
        <w:rPr>
          <w:rFonts w:ascii="Arial" w:eastAsiaTheme="minorEastAsia" w:hAnsi="Arial" w:cs="Arial"/>
          <w:color w:val="000000"/>
          <w:sz w:val="22"/>
          <w:lang w:eastAsia="zh-CN"/>
        </w:rPr>
        <w:t>Co-channel coexistence for LTE SL and NR SL</w:t>
      </w:r>
    </w:p>
    <w:p w14:paraId="566B57B2" w14:textId="7777777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Pr="005B5387">
        <w:rPr>
          <w:rFonts w:ascii="Arial" w:eastAsia="MS Mincho" w:hAnsi="Arial" w:cs="Arial"/>
          <w:color w:val="000000"/>
          <w:sz w:val="22"/>
        </w:rPr>
        <w:t xml:space="preserve">Discussion and </w:t>
      </w:r>
      <w:r w:rsidRPr="00231178">
        <w:rPr>
          <w:rFonts w:ascii="Arial" w:eastAsiaTheme="minorEastAsia" w:hAnsi="Arial" w:cs="Arial"/>
          <w:color w:val="000000"/>
          <w:sz w:val="22"/>
          <w:lang w:eastAsia="zh-CN"/>
        </w:rPr>
        <w:t>Approval</w:t>
      </w:r>
    </w:p>
    <w:p w14:paraId="6F10240C" w14:textId="77777777" w:rsidR="008A1C3C" w:rsidRPr="00231178" w:rsidRDefault="008A1C3C" w:rsidP="008A1C3C">
      <w:pPr>
        <w:pStyle w:val="Heading1"/>
        <w:rPr>
          <w:rFonts w:eastAsiaTheme="minorEastAsia"/>
          <w:lang w:eastAsia="zh-CN"/>
        </w:rPr>
      </w:pPr>
      <w:proofErr w:type="spellStart"/>
      <w:r w:rsidRPr="00231178">
        <w:rPr>
          <w:rFonts w:hint="eastAsia"/>
          <w:lang w:eastAsia="ja-JP"/>
        </w:rPr>
        <w:t>Introduction</w:t>
      </w:r>
      <w:proofErr w:type="spellEnd"/>
    </w:p>
    <w:p w14:paraId="605BB144" w14:textId="6BE24516" w:rsidR="0092026C" w:rsidRDefault="00DF21BE" w:rsidP="00926D7B">
      <w:pPr>
        <w:rPr>
          <w:lang w:eastAsia="zh-CN"/>
        </w:rPr>
      </w:pPr>
      <w:r w:rsidRPr="00DF21BE">
        <w:rPr>
          <w:lang w:eastAsia="zh-CN"/>
        </w:rPr>
        <w:t xml:space="preserve">The WID on NR </w:t>
      </w:r>
      <w:proofErr w:type="spellStart"/>
      <w:r w:rsidRPr="00DF21BE">
        <w:rPr>
          <w:lang w:eastAsia="zh-CN"/>
        </w:rPr>
        <w:t>sidelink</w:t>
      </w:r>
      <w:proofErr w:type="spellEnd"/>
      <w:r w:rsidRPr="00DF21BE">
        <w:rPr>
          <w:lang w:eastAsia="zh-CN"/>
        </w:rPr>
        <w:t xml:space="preserve"> evolution [1] includes the following objective for co-channel coexistence of NR </w:t>
      </w:r>
      <w:proofErr w:type="spellStart"/>
      <w:r w:rsidRPr="00DF21BE">
        <w:rPr>
          <w:lang w:eastAsia="zh-CN"/>
        </w:rPr>
        <w:t>sidelink</w:t>
      </w:r>
      <w:proofErr w:type="spellEnd"/>
      <w:r w:rsidRPr="00DF21BE">
        <w:rPr>
          <w:lang w:eastAsia="zh-CN"/>
        </w:rPr>
        <w:t xml:space="preserve"> and LTE </w:t>
      </w:r>
      <w:proofErr w:type="spellStart"/>
      <w:r w:rsidRPr="00DF21BE">
        <w:rPr>
          <w:lang w:eastAsia="zh-CN"/>
        </w:rPr>
        <w:t>sidelink</w:t>
      </w:r>
      <w:proofErr w:type="spellEnd"/>
      <w:r w:rsidRPr="00DF21BE">
        <w:rPr>
          <w:lang w:eastAsia="zh-CN"/>
        </w:rPr>
        <w:t xml:space="preserve"> operation in common spectrum</w:t>
      </w:r>
      <w:r>
        <w:rPr>
          <w:lang w:eastAsia="zh-CN"/>
        </w:rPr>
        <w:t>.</w:t>
      </w:r>
    </w:p>
    <w:p w14:paraId="336B612C" w14:textId="77777777" w:rsidR="00DF21BE" w:rsidRDefault="00DF21BE" w:rsidP="00DF21BE">
      <w:pPr>
        <w:numPr>
          <w:ilvl w:val="0"/>
          <w:numId w:val="45"/>
        </w:numPr>
        <w:tabs>
          <w:tab w:val="num" w:pos="-360"/>
        </w:tabs>
        <w:spacing w:after="0"/>
        <w:ind w:left="284" w:hanging="142"/>
        <w:textAlignment w:val="baseline"/>
        <w:rPr>
          <w:rFonts w:ascii="Times" w:hAnsi="Times" w:cs="Times"/>
          <w:sz w:val="22"/>
        </w:rPr>
      </w:pPr>
      <w:r w:rsidRPr="19BB4B8A">
        <w:rPr>
          <w:rStyle w:val="normaltextrun"/>
          <w:rFonts w:ascii="Times" w:hAnsi="Times" w:cs="Times"/>
        </w:rPr>
        <w:t xml:space="preserve">Study and specify, if necessary, mechanism(s) for co-channel coexistence for LTE </w:t>
      </w:r>
      <w:proofErr w:type="spellStart"/>
      <w:r w:rsidRPr="19BB4B8A">
        <w:rPr>
          <w:rStyle w:val="normaltextrun"/>
          <w:rFonts w:ascii="Times" w:hAnsi="Times" w:cs="Times"/>
        </w:rPr>
        <w:t>sidelink</w:t>
      </w:r>
      <w:proofErr w:type="spellEnd"/>
      <w:r w:rsidRPr="19BB4B8A">
        <w:rPr>
          <w:rStyle w:val="normaltextrun"/>
          <w:rFonts w:ascii="Times" w:hAnsi="Times" w:cs="Times"/>
        </w:rPr>
        <w:t xml:space="preserve"> and NR </w:t>
      </w:r>
      <w:proofErr w:type="spellStart"/>
      <w:r w:rsidRPr="19BB4B8A">
        <w:rPr>
          <w:rStyle w:val="normaltextrun"/>
          <w:rFonts w:ascii="Times" w:hAnsi="Times" w:cs="Times"/>
        </w:rPr>
        <w:t>sidelink</w:t>
      </w:r>
      <w:proofErr w:type="spellEnd"/>
      <w:r w:rsidRPr="19BB4B8A">
        <w:rPr>
          <w:rStyle w:val="normaltextrun"/>
          <w:rFonts w:ascii="Times" w:hAnsi="Times" w:cs="Times"/>
        </w:rPr>
        <w:t xml:space="preserve"> including performance, necessity, feasibility, and potential specification impact if any [RAN1, </w:t>
      </w:r>
      <w:r w:rsidRPr="00574EBF">
        <w:rPr>
          <w:rStyle w:val="normaltextrun"/>
          <w:rFonts w:ascii="Times" w:hAnsi="Times" w:cs="Times"/>
        </w:rPr>
        <w:t>RAN2, RAN4]</w:t>
      </w:r>
      <w:r w:rsidRPr="19BB4B8A">
        <w:rPr>
          <w:rStyle w:val="eop"/>
          <w:rFonts w:ascii="Times" w:hAnsi="Times" w:cs="Times"/>
        </w:rPr>
        <w:t> </w:t>
      </w:r>
    </w:p>
    <w:p w14:paraId="397BB1E5" w14:textId="77777777" w:rsidR="00DF21BE" w:rsidRDefault="00DF21BE" w:rsidP="00DF21BE">
      <w:pPr>
        <w:numPr>
          <w:ilvl w:val="0"/>
          <w:numId w:val="46"/>
        </w:numPr>
        <w:tabs>
          <w:tab w:val="clear" w:pos="502"/>
          <w:tab w:val="num" w:pos="-578"/>
        </w:tabs>
        <w:spacing w:after="0"/>
        <w:ind w:left="709" w:hanging="283"/>
        <w:textAlignment w:val="baseline"/>
        <w:rPr>
          <w:rFonts w:ascii="Times" w:hAnsi="Times" w:cs="Times"/>
          <w:sz w:val="22"/>
        </w:rPr>
      </w:pPr>
      <w:r w:rsidRPr="19BB4B8A">
        <w:rPr>
          <w:rStyle w:val="normaltextrun"/>
          <w:rFonts w:ascii="Times" w:hAnsi="Times" w:cs="Times"/>
        </w:rPr>
        <w:t>Reuse the in-device coexistence framework defined in Rel-16 as much as possible</w:t>
      </w:r>
      <w:r w:rsidRPr="19BB4B8A">
        <w:rPr>
          <w:rStyle w:val="eop"/>
          <w:rFonts w:ascii="Times" w:hAnsi="Times" w:cs="Times"/>
        </w:rPr>
        <w:t> </w:t>
      </w:r>
    </w:p>
    <w:p w14:paraId="59648105" w14:textId="77777777" w:rsidR="00DF21BE" w:rsidRPr="00500B94" w:rsidRDefault="00DF21BE" w:rsidP="00DF21BE">
      <w:pPr>
        <w:numPr>
          <w:ilvl w:val="0"/>
          <w:numId w:val="46"/>
        </w:numPr>
        <w:spacing w:after="0"/>
        <w:ind w:left="709" w:hanging="283"/>
        <w:textAlignment w:val="baseline"/>
        <w:rPr>
          <w:rStyle w:val="eop"/>
          <w:rFonts w:ascii="Times" w:hAnsi="Times" w:cs="Times"/>
          <w:sz w:val="22"/>
        </w:rPr>
      </w:pPr>
      <w:r w:rsidRPr="19BB4B8A">
        <w:rPr>
          <w:rStyle w:val="normaltextrun"/>
          <w:rFonts w:ascii="Times" w:hAnsi="Times" w:cs="Times"/>
        </w:rPr>
        <w:t>Note, RAN1 continues the work on dynamic resource pool sharing based on existing agreements and WID with high priority for Type A devices and operating combination A</w:t>
      </w:r>
      <w:r w:rsidRPr="19BB4B8A">
        <w:rPr>
          <w:rStyle w:val="eop"/>
          <w:rFonts w:ascii="Times" w:hAnsi="Times" w:cs="Times"/>
        </w:rPr>
        <w:t> </w:t>
      </w:r>
    </w:p>
    <w:p w14:paraId="18F48E41" w14:textId="528C109A" w:rsidR="00DF21BE" w:rsidRDefault="00DF21BE" w:rsidP="00926D7B">
      <w:pPr>
        <w:rPr>
          <w:lang w:eastAsia="zh-CN"/>
        </w:rPr>
      </w:pPr>
    </w:p>
    <w:p w14:paraId="6265B996" w14:textId="4FA43A38" w:rsidR="002255CD" w:rsidRDefault="002255CD" w:rsidP="00926D7B">
      <w:pPr>
        <w:rPr>
          <w:lang w:eastAsia="zh-CN"/>
        </w:rPr>
      </w:pPr>
      <w:r w:rsidRPr="002255CD">
        <w:rPr>
          <w:lang w:eastAsia="zh-CN"/>
        </w:rPr>
        <w:t xml:space="preserve">RAN1 is discussing the solutions </w:t>
      </w:r>
      <w:r>
        <w:rPr>
          <w:lang w:eastAsia="zh-CN"/>
        </w:rPr>
        <w:t xml:space="preserve">for co-channel coexistence and RAN1 decisions will impact the RAN4 work, but </w:t>
      </w:r>
      <w:r w:rsidRPr="002255CD">
        <w:rPr>
          <w:lang w:eastAsia="zh-CN"/>
        </w:rPr>
        <w:t xml:space="preserve">this document discusses </w:t>
      </w:r>
      <w:r>
        <w:rPr>
          <w:lang w:eastAsia="zh-CN"/>
        </w:rPr>
        <w:t xml:space="preserve">some </w:t>
      </w:r>
      <w:r w:rsidRPr="002255CD">
        <w:rPr>
          <w:lang w:eastAsia="zh-CN"/>
        </w:rPr>
        <w:t>issues that may require further RAN4 actions in cases where LTE SL and NR SL are received simultaneously by single UE (FDM and dynamic).</w:t>
      </w:r>
    </w:p>
    <w:p w14:paraId="408230BB" w14:textId="77777777" w:rsidR="002255CD" w:rsidRDefault="002255CD" w:rsidP="00926D7B">
      <w:pPr>
        <w:rPr>
          <w:lang w:eastAsia="zh-CN"/>
        </w:rPr>
      </w:pPr>
    </w:p>
    <w:p w14:paraId="78706DCC" w14:textId="3C7AB13F" w:rsidR="005545E3" w:rsidRDefault="00D1789A" w:rsidP="00A2682E">
      <w:pPr>
        <w:pStyle w:val="Heading1"/>
        <w:rPr>
          <w:lang w:eastAsia="zh-CN"/>
        </w:rPr>
      </w:pPr>
      <w:proofErr w:type="spellStart"/>
      <w:r>
        <w:rPr>
          <w:lang w:eastAsia="zh-CN"/>
        </w:rPr>
        <w:t>Discussion</w:t>
      </w:r>
      <w:proofErr w:type="spellEnd"/>
    </w:p>
    <w:p w14:paraId="2CDC25E5" w14:textId="6BF07345" w:rsidR="00A02C44" w:rsidRDefault="00D1789A" w:rsidP="00D1789A">
      <w:pPr>
        <w:pStyle w:val="BodyTextIndent"/>
        <w:ind w:left="0"/>
        <w:jc w:val="both"/>
        <w:rPr>
          <w:lang w:eastAsia="ko-KR"/>
        </w:rPr>
      </w:pPr>
      <w:r w:rsidRPr="00D1789A">
        <w:rPr>
          <w:lang w:eastAsia="ko-KR"/>
        </w:rPr>
        <w:t xml:space="preserve">Co-channel coexistence between two RATs (LTE V2X and NR V2X) can be achieved </w:t>
      </w:r>
      <w:r w:rsidR="00DF21BE">
        <w:rPr>
          <w:lang w:eastAsia="ko-KR"/>
        </w:rPr>
        <w:t>by different ways that enable resource sharing within the channel either through</w:t>
      </w:r>
      <w:r w:rsidRPr="00D1789A">
        <w:rPr>
          <w:lang w:eastAsia="ko-KR"/>
        </w:rPr>
        <w:t xml:space="preserve"> Time Domain Multiplexing</w:t>
      </w:r>
      <w:r w:rsidR="00DF21BE">
        <w:rPr>
          <w:lang w:eastAsia="ko-KR"/>
        </w:rPr>
        <w:t xml:space="preserve"> (TDM)</w:t>
      </w:r>
      <w:r w:rsidRPr="00D1789A">
        <w:rPr>
          <w:lang w:eastAsia="ko-KR"/>
        </w:rPr>
        <w:t>, Frequency Domain Multiplexing</w:t>
      </w:r>
      <w:r w:rsidR="00DF21BE">
        <w:rPr>
          <w:lang w:eastAsia="ko-KR"/>
        </w:rPr>
        <w:t xml:space="preserve"> (FDM)</w:t>
      </w:r>
      <w:r w:rsidRPr="00D1789A">
        <w:rPr>
          <w:lang w:eastAsia="ko-KR"/>
        </w:rPr>
        <w:t>, or it can be done using a dynamic radio resource sharing mechanism</w:t>
      </w:r>
      <w:r w:rsidR="00DF21BE">
        <w:rPr>
          <w:lang w:eastAsia="ko-KR"/>
        </w:rPr>
        <w:t xml:space="preserve"> where behaviour of the </w:t>
      </w:r>
      <w:r w:rsidR="00104423">
        <w:rPr>
          <w:lang w:eastAsia="ko-KR"/>
        </w:rPr>
        <w:t>one</w:t>
      </w:r>
      <w:r w:rsidR="00DF21BE">
        <w:rPr>
          <w:lang w:eastAsia="ko-KR"/>
        </w:rPr>
        <w:t xml:space="preserve"> RAT influences the way that </w:t>
      </w:r>
      <w:r w:rsidR="00104423">
        <w:rPr>
          <w:lang w:eastAsia="ko-KR"/>
        </w:rPr>
        <w:t>the other one</w:t>
      </w:r>
      <w:r w:rsidR="00DF21BE">
        <w:rPr>
          <w:lang w:eastAsia="ko-KR"/>
        </w:rPr>
        <w:t xml:space="preserve"> can use the channel</w:t>
      </w:r>
      <w:r w:rsidRPr="00D1789A">
        <w:rPr>
          <w:lang w:eastAsia="ko-KR"/>
        </w:rPr>
        <w:t xml:space="preserve">. </w:t>
      </w:r>
    </w:p>
    <w:p w14:paraId="3D2FAE4A" w14:textId="4E25149D" w:rsidR="00D1789A" w:rsidRPr="00D1789A" w:rsidRDefault="00DF21BE" w:rsidP="00DF21BE">
      <w:pPr>
        <w:pStyle w:val="BodyTextIndent"/>
        <w:ind w:left="0"/>
        <w:jc w:val="both"/>
        <w:rPr>
          <w:lang w:eastAsia="ko-KR"/>
        </w:rPr>
      </w:pPr>
      <w:r>
        <w:rPr>
          <w:lang w:eastAsia="ko-KR"/>
        </w:rPr>
        <w:t>RAN1</w:t>
      </w:r>
      <w:r w:rsidR="00D1789A" w:rsidRPr="00D1789A">
        <w:rPr>
          <w:lang w:eastAsia="ko-KR"/>
        </w:rPr>
        <w:t xml:space="preserve"> has already concluded that TDM co-channel coexistence can be achieved with no specification changes needed. 3GPP working groups are currently focused on dynamic co-channel coexistence where RAN4 impact is also expected.</w:t>
      </w:r>
    </w:p>
    <w:p w14:paraId="1209C5BE" w14:textId="02831A87" w:rsidR="00D1789A" w:rsidRPr="00D1789A" w:rsidRDefault="00D1789A" w:rsidP="00D1789A">
      <w:r w:rsidRPr="00D1789A">
        <w:t xml:space="preserve">As no specification changes are allowed onto the LTE SL specifications during the NR </w:t>
      </w:r>
      <w:proofErr w:type="spellStart"/>
      <w:r w:rsidRPr="00D1789A">
        <w:t>sidelink</w:t>
      </w:r>
      <w:proofErr w:type="spellEnd"/>
      <w:r w:rsidRPr="00D1789A">
        <w:t xml:space="preserve"> enhancement work, the</w:t>
      </w:r>
      <w:r w:rsidR="0007733D">
        <w:t xml:space="preserve"> RAN1 is</w:t>
      </w:r>
      <w:r w:rsidRPr="00D1789A">
        <w:t xml:space="preserve"> focus</w:t>
      </w:r>
      <w:r w:rsidR="0007733D">
        <w:t xml:space="preserve">ing in various solutions that try to avoid NR </w:t>
      </w:r>
      <w:proofErr w:type="spellStart"/>
      <w:r w:rsidR="0007733D">
        <w:t>sidelink</w:t>
      </w:r>
      <w:proofErr w:type="spellEnd"/>
      <w:r w:rsidR="0007733D">
        <w:t xml:space="preserve"> causing power fluctuation during LTE SL reception, which would require AGC re-settling during the slot.</w:t>
      </w:r>
      <w:r w:rsidR="00134FD9">
        <w:t xml:space="preserve"> Such power changes could be caused for example by PSFCH and different numerologies in NR V2X that are illustrated in [4] and in figures 1-4. While RAN1 is discussing the details of the </w:t>
      </w:r>
      <w:r w:rsidR="002255CD">
        <w:t xml:space="preserve">co-channel coexistence </w:t>
      </w:r>
      <w:r w:rsidR="00134FD9">
        <w:t xml:space="preserve">solutions this document </w:t>
      </w:r>
      <w:r w:rsidR="002255CD">
        <w:t>discusses</w:t>
      </w:r>
      <w:r w:rsidR="00134FD9">
        <w:t xml:space="preserve"> </w:t>
      </w:r>
      <w:r w:rsidR="002255CD">
        <w:t>issues that</w:t>
      </w:r>
      <w:r w:rsidR="00134FD9">
        <w:t xml:space="preserve"> may require further RAN4 actions in cases </w:t>
      </w:r>
      <w:r w:rsidR="002255CD">
        <w:t>where</w:t>
      </w:r>
      <w:r w:rsidR="00134FD9">
        <w:t xml:space="preserve"> LTE SL and NR SL are received </w:t>
      </w:r>
      <w:r w:rsidR="006226F5">
        <w:t>simultaneously</w:t>
      </w:r>
      <w:r w:rsidR="002255CD">
        <w:t xml:space="preserve"> by single UE</w:t>
      </w:r>
      <w:r w:rsidR="006226F5">
        <w:t xml:space="preserve"> (FDM and dynamic).</w:t>
      </w:r>
    </w:p>
    <w:p w14:paraId="1BF3C0F3" w14:textId="6EE9C2C9" w:rsidR="00D1789A" w:rsidRDefault="00D1789A" w:rsidP="00D1789A">
      <w:r w:rsidRPr="00D1789A">
        <w:t>In the case that both RATs follow the same sub-frame structure</w:t>
      </w:r>
      <w:r w:rsidR="00A02C44">
        <w:t>, AGC periods are aligned,</w:t>
      </w:r>
      <w:r w:rsidRPr="00D1789A">
        <w:t xml:space="preserve"> and power </w:t>
      </w:r>
      <w:r w:rsidR="00A02C44">
        <w:t>of</w:t>
      </w:r>
      <w:r w:rsidRPr="00D1789A">
        <w:t xml:space="preserve"> the signal remains constant during the whole RX period</w:t>
      </w:r>
      <w:r w:rsidR="002255CD">
        <w:t>,</w:t>
      </w:r>
      <w:r w:rsidRPr="00D1789A">
        <w:t xml:space="preserve"> the receiver is capable of </w:t>
      </w:r>
      <w:r w:rsidR="00104423">
        <w:t>demodulating</w:t>
      </w:r>
      <w:r w:rsidRPr="00D1789A">
        <w:t xml:space="preserve"> the both signals as long as the resources are not colliding in frequency domain</w:t>
      </w:r>
      <w:r w:rsidR="006226F5">
        <w:t xml:space="preserve"> and power level difference between the signals is not causing challenges for </w:t>
      </w:r>
      <w:r w:rsidR="00104423">
        <w:t xml:space="preserve">demodulation of </w:t>
      </w:r>
      <w:r w:rsidR="006226F5">
        <w:t xml:space="preserve">one or the other </w:t>
      </w:r>
      <w:r w:rsidR="00104423">
        <w:t xml:space="preserve">of the </w:t>
      </w:r>
      <w:r w:rsidR="006226F5">
        <w:t>received signals</w:t>
      </w:r>
      <w:r w:rsidRPr="00D1789A">
        <w:t xml:space="preserve">. </w:t>
      </w:r>
      <w:r w:rsidR="00314284">
        <w:t>If one of the received signals is significantly stronger than the other</w:t>
      </w:r>
      <w:r w:rsidR="00104423">
        <w:t>(s)</w:t>
      </w:r>
      <w:r w:rsidR="00314284">
        <w:t xml:space="preserve"> the AGC will select the gain that is more optimum for the strongest signal, which may degrade the receive quality for weaker signal(s). </w:t>
      </w:r>
      <w:r w:rsidR="006226F5" w:rsidRPr="00D1789A">
        <w:t xml:space="preserve">Such scenario is shown in </w:t>
      </w:r>
      <w:r w:rsidR="006226F5" w:rsidRPr="00D1789A">
        <w:fldChar w:fldCharType="begin"/>
      </w:r>
      <w:r w:rsidR="006226F5" w:rsidRPr="00D1789A">
        <w:instrText xml:space="preserve"> REF _Ref130390929 \h  \* MERGEFORMAT </w:instrText>
      </w:r>
      <w:r w:rsidR="006226F5" w:rsidRPr="00D1789A">
        <w:fldChar w:fldCharType="separate"/>
      </w:r>
      <w:r w:rsidR="006226F5" w:rsidRPr="00D1789A">
        <w:t xml:space="preserve">Figure </w:t>
      </w:r>
      <w:r w:rsidR="006226F5" w:rsidRPr="00D1789A">
        <w:rPr>
          <w:noProof/>
        </w:rPr>
        <w:t>1</w:t>
      </w:r>
      <w:r w:rsidR="006226F5" w:rsidRPr="00D1789A">
        <w:fldChar w:fldCharType="end"/>
      </w:r>
      <w:r w:rsidR="006226F5" w:rsidRPr="00D1789A">
        <w:t>.</w:t>
      </w:r>
    </w:p>
    <w:p w14:paraId="4684DC57" w14:textId="69BA7027" w:rsidR="002255CD" w:rsidRPr="00D1789A" w:rsidRDefault="002255CD" w:rsidP="00D1789A">
      <w:r w:rsidRPr="00314284">
        <w:rPr>
          <w:b/>
        </w:rPr>
        <w:t>Observation</w:t>
      </w:r>
      <w:r w:rsidR="00314284">
        <w:rPr>
          <w:b/>
        </w:rPr>
        <w:t xml:space="preserve"> 1</w:t>
      </w:r>
      <w:r w:rsidRPr="00314284">
        <w:rPr>
          <w:b/>
        </w:rPr>
        <w:t>:</w:t>
      </w:r>
      <w:r>
        <w:t xml:space="preserve"> Even if there are no power fluctuations during the </w:t>
      </w:r>
      <w:r w:rsidR="00564F34">
        <w:t xml:space="preserve">LTE V2X </w:t>
      </w:r>
      <w:r>
        <w:t xml:space="preserve">receive period </w:t>
      </w:r>
      <w:r w:rsidR="00314284">
        <w:t xml:space="preserve">the power imbalance between the </w:t>
      </w:r>
      <w:r w:rsidR="00564F34">
        <w:t xml:space="preserve">LTE V2X and NR V2X </w:t>
      </w:r>
      <w:r w:rsidR="00314284">
        <w:t>signals may impact the rece</w:t>
      </w:r>
      <w:r w:rsidR="00564F34">
        <w:t xml:space="preserve">ption </w:t>
      </w:r>
      <w:r w:rsidR="00314284">
        <w:t>performance</w:t>
      </w:r>
      <w:r w:rsidR="00564F34">
        <w:t xml:space="preserve"> of the weaker signal</w:t>
      </w:r>
      <w:r w:rsidR="00314284">
        <w:t xml:space="preserve"> and may need to be further discussed in RAN4.</w:t>
      </w:r>
    </w:p>
    <w:p w14:paraId="713DE338" w14:textId="77777777" w:rsidR="00D1789A" w:rsidRPr="00D1789A" w:rsidRDefault="00D1789A" w:rsidP="00D1789A"/>
    <w:p w14:paraId="6E42DD58" w14:textId="030782ED" w:rsidR="00D1789A" w:rsidRPr="00D1789A" w:rsidRDefault="00314284" w:rsidP="00D1789A">
      <w:pPr>
        <w:keepNext/>
      </w:pPr>
      <w:r>
        <w:rPr>
          <w:noProof/>
        </w:rPr>
        <w:lastRenderedPageBreak/>
        <w:drawing>
          <wp:inline distT="0" distB="0" distL="0" distR="0" wp14:anchorId="597CA64E" wp14:editId="2CDEA69B">
            <wp:extent cx="5342400" cy="2109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2400" cy="2109600"/>
                    </a:xfrm>
                    <a:prstGeom prst="rect">
                      <a:avLst/>
                    </a:prstGeom>
                    <a:noFill/>
                  </pic:spPr>
                </pic:pic>
              </a:graphicData>
            </a:graphic>
          </wp:inline>
        </w:drawing>
      </w:r>
    </w:p>
    <w:p w14:paraId="16325881" w14:textId="77777777" w:rsidR="00D1789A" w:rsidRPr="00D1789A" w:rsidRDefault="00D1789A" w:rsidP="00D1789A">
      <w:pPr>
        <w:pStyle w:val="Caption"/>
      </w:pPr>
      <w:bookmarkStart w:id="1" w:name="_Ref130390929"/>
      <w:r w:rsidRPr="00D1789A">
        <w:t xml:space="preserve">Figure </w:t>
      </w:r>
      <w:r w:rsidRPr="00D1789A">
        <w:fldChar w:fldCharType="begin"/>
      </w:r>
      <w:r w:rsidRPr="00D1789A">
        <w:instrText xml:space="preserve"> SEQ Figure \* ARABIC </w:instrText>
      </w:r>
      <w:r w:rsidRPr="00D1789A">
        <w:fldChar w:fldCharType="separate"/>
      </w:r>
      <w:r w:rsidRPr="00D1789A">
        <w:rPr>
          <w:noProof/>
        </w:rPr>
        <w:t>1</w:t>
      </w:r>
      <w:r w:rsidRPr="00D1789A">
        <w:rPr>
          <w:noProof/>
        </w:rPr>
        <w:fldChar w:fldCharType="end"/>
      </w:r>
      <w:bookmarkEnd w:id="1"/>
      <w:r w:rsidRPr="00D1789A">
        <w:t>.</w:t>
      </w:r>
    </w:p>
    <w:p w14:paraId="23277304" w14:textId="6232C02A" w:rsidR="00D1789A" w:rsidRPr="00D1789A" w:rsidRDefault="00D1789A" w:rsidP="00D1789A">
      <w:r w:rsidRPr="00D1789A">
        <w:t xml:space="preserve">However, if the subframe structure for NR V2X is different from the LTE V2X, as in the case of PSFCH transmission, the power changes in the NR V2X transmission will also cause changes to the received signal power, which may degrade the receiver performance and can cause problems for demodulation of both LTE and NR V2X signals. This kind of scenario is shown in </w:t>
      </w:r>
      <w:r w:rsidRPr="00D1789A">
        <w:fldChar w:fldCharType="begin"/>
      </w:r>
      <w:r w:rsidRPr="00D1789A">
        <w:instrText xml:space="preserve"> REF _Ref130391521 \h  \* MERGEFORMAT </w:instrText>
      </w:r>
      <w:r w:rsidRPr="00D1789A">
        <w:fldChar w:fldCharType="separate"/>
      </w:r>
      <w:r w:rsidRPr="00D1789A">
        <w:t xml:space="preserve">Figure </w:t>
      </w:r>
      <w:r w:rsidRPr="00D1789A">
        <w:rPr>
          <w:noProof/>
        </w:rPr>
        <w:t>2</w:t>
      </w:r>
      <w:r w:rsidRPr="00D1789A">
        <w:fldChar w:fldCharType="end"/>
      </w:r>
      <w:r w:rsidRPr="00D1789A">
        <w:t>.</w:t>
      </w:r>
      <w:r w:rsidR="00A02C44">
        <w:t xml:space="preserve">, </w:t>
      </w:r>
      <w:r w:rsidRPr="00D1789A">
        <w:t xml:space="preserve">where PSFCH is transmitted with higher power than the PSSCH and causes the receive power to fluctuate up and downwards. The power fluctuation caused by the NR V2X signal cannot be compensated in the receiver during LTE V2X reception by repeating the AGC (Automatic Gain Control) algorithm based on PSFCH AGC symbols as this </w:t>
      </w:r>
      <w:r w:rsidR="00104423">
        <w:t>would likely</w:t>
      </w:r>
      <w:r w:rsidRPr="00D1789A">
        <w:t xml:space="preserve"> result in significant </w:t>
      </w:r>
      <w:r w:rsidR="00104423">
        <w:t>loss of data</w:t>
      </w:r>
      <w:r w:rsidRPr="00D1789A">
        <w:t xml:space="preserve"> for LTE V2X.</w:t>
      </w:r>
      <w:r w:rsidR="00A02C44">
        <w:t xml:space="preserve"> </w:t>
      </w:r>
      <w:r w:rsidRPr="00D1789A">
        <w:t xml:space="preserve">Power drop during the receive period is not that critical </w:t>
      </w:r>
      <w:r w:rsidR="00A02C44">
        <w:t xml:space="preserve">for the receiver </w:t>
      </w:r>
      <w:r w:rsidRPr="00D1789A">
        <w:t>but power increase may lead to receiver compression that will degrade the signal quality for all received signals.</w:t>
      </w:r>
      <w:r w:rsidR="00A94395">
        <w:t xml:space="preserve"> RAN1 is trying to address this scenario in their ongoing co-channel coexistence work, but it is possible that in certain cases the PSFCH may </w:t>
      </w:r>
      <w:r w:rsidR="00104423">
        <w:t xml:space="preserve">still </w:t>
      </w:r>
      <w:r w:rsidR="00A94395">
        <w:t xml:space="preserve">be transmitted </w:t>
      </w:r>
      <w:r w:rsidR="00104423">
        <w:t>simultaneously</w:t>
      </w:r>
      <w:r w:rsidR="00A94395">
        <w:t xml:space="preserve"> with the LTX V2X and issues discussed above remain.</w:t>
      </w:r>
    </w:p>
    <w:p w14:paraId="3B7436D9" w14:textId="77777777" w:rsidR="00D1789A" w:rsidRPr="00D1789A" w:rsidRDefault="00D1789A" w:rsidP="00D1789A"/>
    <w:p w14:paraId="7468E6DD" w14:textId="77777777" w:rsidR="00D1789A" w:rsidRPr="00D1789A" w:rsidRDefault="00D1789A" w:rsidP="00D1789A">
      <w:pPr>
        <w:keepNext/>
      </w:pPr>
      <w:r w:rsidRPr="00D1789A">
        <w:rPr>
          <w:noProof/>
        </w:rPr>
        <w:drawing>
          <wp:inline distT="0" distB="0" distL="0" distR="0" wp14:anchorId="03E2F4DA" wp14:editId="34D7F051">
            <wp:extent cx="5612400" cy="257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400" cy="2574000"/>
                    </a:xfrm>
                    <a:prstGeom prst="rect">
                      <a:avLst/>
                    </a:prstGeom>
                    <a:noFill/>
                  </pic:spPr>
                </pic:pic>
              </a:graphicData>
            </a:graphic>
          </wp:inline>
        </w:drawing>
      </w:r>
    </w:p>
    <w:p w14:paraId="776DA9C9" w14:textId="77777777" w:rsidR="00D1789A" w:rsidRPr="00D1789A" w:rsidRDefault="00D1789A" w:rsidP="00D1789A">
      <w:pPr>
        <w:pStyle w:val="Caption"/>
      </w:pPr>
      <w:bookmarkStart w:id="2" w:name="_Ref130391521"/>
      <w:r w:rsidRPr="00D1789A">
        <w:t xml:space="preserve">Figure </w:t>
      </w:r>
      <w:r w:rsidRPr="00D1789A">
        <w:fldChar w:fldCharType="begin"/>
      </w:r>
      <w:r w:rsidRPr="00D1789A">
        <w:instrText xml:space="preserve"> SEQ Figure \* ARABIC </w:instrText>
      </w:r>
      <w:r w:rsidRPr="00D1789A">
        <w:fldChar w:fldCharType="separate"/>
      </w:r>
      <w:r w:rsidRPr="00D1789A">
        <w:rPr>
          <w:noProof/>
        </w:rPr>
        <w:t>2</w:t>
      </w:r>
      <w:r w:rsidRPr="00D1789A">
        <w:rPr>
          <w:noProof/>
        </w:rPr>
        <w:fldChar w:fldCharType="end"/>
      </w:r>
      <w:bookmarkEnd w:id="2"/>
      <w:r w:rsidRPr="00D1789A">
        <w:t>.</w:t>
      </w:r>
    </w:p>
    <w:p w14:paraId="45178DD0" w14:textId="77777777" w:rsidR="00D1789A" w:rsidRPr="00D1789A" w:rsidRDefault="00D1789A" w:rsidP="00D1789A"/>
    <w:p w14:paraId="58A84481" w14:textId="3C563F57" w:rsidR="00D1789A" w:rsidRPr="00D1789A" w:rsidRDefault="00D1789A" w:rsidP="00D1789A">
      <w:r w:rsidRPr="00D1789A">
        <w:t xml:space="preserve">In the case that LTE V2X is using different numerology than the NR V2X there can happen even more received power changes during the LTE V2X receive period. Some scenarios where 30kHz SCS is used for NR V2X are shown in </w:t>
      </w:r>
      <w:r w:rsidRPr="00D1789A">
        <w:fldChar w:fldCharType="begin"/>
      </w:r>
      <w:r w:rsidRPr="00D1789A">
        <w:instrText xml:space="preserve"> REF _Ref130468644 \h  \* MERGEFORMAT </w:instrText>
      </w:r>
      <w:r w:rsidRPr="00D1789A">
        <w:fldChar w:fldCharType="separate"/>
      </w:r>
      <w:r w:rsidRPr="00D1789A">
        <w:t xml:space="preserve">Figure </w:t>
      </w:r>
      <w:r w:rsidRPr="00D1789A">
        <w:rPr>
          <w:noProof/>
        </w:rPr>
        <w:t>3</w:t>
      </w:r>
      <w:r w:rsidRPr="00D1789A">
        <w:fldChar w:fldCharType="end"/>
      </w:r>
      <w:r w:rsidRPr="00D1789A">
        <w:t xml:space="preserve"> and </w:t>
      </w:r>
      <w:r w:rsidRPr="00D1789A">
        <w:fldChar w:fldCharType="begin"/>
      </w:r>
      <w:r w:rsidRPr="00D1789A">
        <w:instrText xml:space="preserve"> REF _Ref130468647 \h  \* MERGEFORMAT </w:instrText>
      </w:r>
      <w:r w:rsidRPr="00D1789A">
        <w:fldChar w:fldCharType="separate"/>
      </w:r>
      <w:r w:rsidRPr="00D1789A">
        <w:t xml:space="preserve">Figure </w:t>
      </w:r>
      <w:r w:rsidRPr="00D1789A">
        <w:rPr>
          <w:noProof/>
        </w:rPr>
        <w:t>4</w:t>
      </w:r>
      <w:r w:rsidRPr="00D1789A">
        <w:fldChar w:fldCharType="end"/>
      </w:r>
      <w:r w:rsidRPr="00D1789A">
        <w:t>.</w:t>
      </w:r>
    </w:p>
    <w:p w14:paraId="4A58DC8F" w14:textId="60AC68BC" w:rsidR="00D1789A" w:rsidRPr="00D1789A" w:rsidRDefault="00D1789A" w:rsidP="00D1789A">
      <w:r w:rsidRPr="00D1789A">
        <w:t xml:space="preserve">The challenge for the receiver in both of these scenarios is that the power level of the received signal </w:t>
      </w:r>
      <w:r w:rsidR="00104423">
        <w:t>would be</w:t>
      </w:r>
      <w:r w:rsidRPr="00D1789A">
        <w:t xml:space="preserve"> increasing during the receive period of LTE V2X and </w:t>
      </w:r>
      <w:r w:rsidR="006226F5">
        <w:t xml:space="preserve">this </w:t>
      </w:r>
      <w:r w:rsidRPr="00D1789A">
        <w:t>can cause saturation of the receiver (ADC).</w:t>
      </w:r>
      <w:r w:rsidR="00A94395">
        <w:t xml:space="preserve"> Again, RAN1 is trying to address this scenario in their ongoing co-channel coexistence work, but </w:t>
      </w:r>
      <w:r w:rsidR="00872C23">
        <w:t xml:space="preserve">in the case that in some cases the NR V2X transmissions do not completely overlap the LTE V2X slots the power fluctuations may happen </w:t>
      </w:r>
      <w:r w:rsidR="00872C23">
        <w:t>and issues discussed above remain</w:t>
      </w:r>
      <w:r w:rsidR="00A94395">
        <w:t>.</w:t>
      </w:r>
    </w:p>
    <w:p w14:paraId="674426D8" w14:textId="77777777" w:rsidR="00B45120" w:rsidRPr="00D1789A" w:rsidRDefault="00B45120" w:rsidP="00B45120"/>
    <w:p w14:paraId="3C931DD6" w14:textId="77777777" w:rsidR="00B45120" w:rsidRPr="00D1789A" w:rsidRDefault="00B45120" w:rsidP="00B45120">
      <w:pPr>
        <w:keepNext/>
      </w:pPr>
      <w:r w:rsidRPr="00D1789A">
        <w:rPr>
          <w:noProof/>
        </w:rPr>
        <w:drawing>
          <wp:inline distT="0" distB="0" distL="0" distR="0" wp14:anchorId="36914801" wp14:editId="7E842A86">
            <wp:extent cx="6037200" cy="26712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7200" cy="2671200"/>
                    </a:xfrm>
                    <a:prstGeom prst="rect">
                      <a:avLst/>
                    </a:prstGeom>
                    <a:noFill/>
                  </pic:spPr>
                </pic:pic>
              </a:graphicData>
            </a:graphic>
          </wp:inline>
        </w:drawing>
      </w:r>
    </w:p>
    <w:p w14:paraId="72EC6DC3" w14:textId="77777777" w:rsidR="00B45120" w:rsidRPr="00D1789A" w:rsidRDefault="00B45120" w:rsidP="00B45120">
      <w:pPr>
        <w:pStyle w:val="Caption"/>
      </w:pPr>
      <w:bookmarkStart w:id="3" w:name="_Ref130468644"/>
      <w:r w:rsidRPr="00D1789A">
        <w:t xml:space="preserve">Figure </w:t>
      </w:r>
      <w:r w:rsidRPr="00D1789A">
        <w:fldChar w:fldCharType="begin"/>
      </w:r>
      <w:r w:rsidRPr="00D1789A">
        <w:instrText xml:space="preserve"> SEQ Figure \* ARABIC </w:instrText>
      </w:r>
      <w:r w:rsidRPr="00D1789A">
        <w:fldChar w:fldCharType="separate"/>
      </w:r>
      <w:r w:rsidRPr="00D1789A">
        <w:rPr>
          <w:noProof/>
        </w:rPr>
        <w:t>3</w:t>
      </w:r>
      <w:r w:rsidRPr="00D1789A">
        <w:rPr>
          <w:noProof/>
        </w:rPr>
        <w:fldChar w:fldCharType="end"/>
      </w:r>
      <w:bookmarkEnd w:id="3"/>
      <w:r w:rsidRPr="00D1789A">
        <w:t>. Two NR V2X UEs transmitting in adjacent slots</w:t>
      </w:r>
    </w:p>
    <w:p w14:paraId="733BB591" w14:textId="77777777" w:rsidR="00B45120" w:rsidRPr="00D1789A" w:rsidRDefault="00B45120" w:rsidP="00B45120">
      <w:pPr>
        <w:keepNext/>
      </w:pPr>
      <w:r w:rsidRPr="00D1789A">
        <w:rPr>
          <w:noProof/>
        </w:rPr>
        <w:drawing>
          <wp:inline distT="0" distB="0" distL="0" distR="0" wp14:anchorId="2F60408E" wp14:editId="1A995464">
            <wp:extent cx="6040800" cy="27756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0800" cy="2775600"/>
                    </a:xfrm>
                    <a:prstGeom prst="rect">
                      <a:avLst/>
                    </a:prstGeom>
                    <a:noFill/>
                  </pic:spPr>
                </pic:pic>
              </a:graphicData>
            </a:graphic>
          </wp:inline>
        </w:drawing>
      </w:r>
    </w:p>
    <w:p w14:paraId="54B172E3" w14:textId="52A68B7B" w:rsidR="00B45120" w:rsidRPr="00D1789A" w:rsidRDefault="00B45120" w:rsidP="00B45120">
      <w:pPr>
        <w:pStyle w:val="Caption"/>
      </w:pPr>
      <w:bookmarkStart w:id="4" w:name="_Ref130468647"/>
      <w:r w:rsidRPr="00D1789A">
        <w:t xml:space="preserve">Figure </w:t>
      </w:r>
      <w:r w:rsidRPr="00D1789A">
        <w:fldChar w:fldCharType="begin"/>
      </w:r>
      <w:r w:rsidRPr="00D1789A">
        <w:instrText xml:space="preserve"> SEQ Figure \* ARABIC </w:instrText>
      </w:r>
      <w:r w:rsidRPr="00D1789A">
        <w:fldChar w:fldCharType="separate"/>
      </w:r>
      <w:r w:rsidRPr="00D1789A">
        <w:rPr>
          <w:noProof/>
        </w:rPr>
        <w:t>4</w:t>
      </w:r>
      <w:r w:rsidRPr="00D1789A">
        <w:rPr>
          <w:noProof/>
        </w:rPr>
        <w:fldChar w:fldCharType="end"/>
      </w:r>
      <w:bookmarkEnd w:id="4"/>
      <w:r w:rsidRPr="00D1789A">
        <w:t xml:space="preserve"> UE2 not transmitting and UE3 transmitting in slot that is overlapping the latter part of the LTE V2</w:t>
      </w:r>
      <w:r>
        <w:t>X</w:t>
      </w:r>
      <w:r w:rsidRPr="00D1789A">
        <w:t xml:space="preserve"> sub-frame</w:t>
      </w:r>
    </w:p>
    <w:p w14:paraId="4E122FAB" w14:textId="77777777" w:rsidR="00D1789A" w:rsidRPr="00D1789A" w:rsidRDefault="00D1789A" w:rsidP="00D1789A"/>
    <w:p w14:paraId="18316C60" w14:textId="3DE400BF" w:rsidR="0029588B" w:rsidRDefault="00D1789A" w:rsidP="00D1789A">
      <w:r w:rsidRPr="00D1789A">
        <w:t xml:space="preserve">The </w:t>
      </w:r>
      <w:r w:rsidR="00872C23">
        <w:t xml:space="preserve">potential </w:t>
      </w:r>
      <w:proofErr w:type="gramStart"/>
      <w:r w:rsidR="00872C23">
        <w:t>receive</w:t>
      </w:r>
      <w:proofErr w:type="gramEnd"/>
      <w:r w:rsidR="00872C23">
        <w:t xml:space="preserve"> </w:t>
      </w:r>
      <w:r w:rsidRPr="00D1789A">
        <w:t xml:space="preserve">problems caused by </w:t>
      </w:r>
      <w:r w:rsidR="006226F5">
        <w:t>the</w:t>
      </w:r>
      <w:r w:rsidRPr="00D1789A">
        <w:t xml:space="preserve"> power fluctuation can be mitigated</w:t>
      </w:r>
      <w:r w:rsidR="006226F5">
        <w:t xml:space="preserve"> by</w:t>
      </w:r>
      <w:r w:rsidRPr="00D1789A">
        <w:t xml:space="preserve"> co-channel coexistence mechanism</w:t>
      </w:r>
      <w:r w:rsidR="006226F5">
        <w:t>s</w:t>
      </w:r>
      <w:r w:rsidRPr="00D1789A">
        <w:t xml:space="preserve"> </w:t>
      </w:r>
      <w:r w:rsidR="006226F5">
        <w:t xml:space="preserve">discussed in RAN1 that minimize or </w:t>
      </w:r>
      <w:r w:rsidRPr="00D1789A">
        <w:t>do not allow the received power to increase outside the LTE V2X D</w:t>
      </w:r>
      <w:r w:rsidR="00B45120">
        <w:t>ata</w:t>
      </w:r>
      <w:r w:rsidRPr="00D1789A">
        <w:t xml:space="preserve"> AGC symbols</w:t>
      </w:r>
      <w:r w:rsidR="006226F5">
        <w:t xml:space="preserve">. </w:t>
      </w:r>
    </w:p>
    <w:p w14:paraId="76F0987C" w14:textId="597B7D06" w:rsidR="00D1789A" w:rsidRDefault="0029588B" w:rsidP="00D1789A">
      <w:r>
        <w:t>In parallel to this RAN4 should discuss the possibility to</w:t>
      </w:r>
      <w:r w:rsidR="00D1789A" w:rsidRPr="00D1789A">
        <w:t xml:space="preserve"> require receivers </w:t>
      </w:r>
      <w:r w:rsidR="00872C23">
        <w:t xml:space="preserve">that receive both LTE V2X and NR V2X </w:t>
      </w:r>
      <w:r w:rsidR="00D1789A" w:rsidRPr="00D1789A">
        <w:t>to tolerate</w:t>
      </w:r>
      <w:r>
        <w:t xml:space="preserve"> </w:t>
      </w:r>
      <w:r w:rsidR="00D1789A" w:rsidRPr="00D1789A">
        <w:t>power fluctuations</w:t>
      </w:r>
      <w:r>
        <w:t>,</w:t>
      </w:r>
      <w:r w:rsidR="00D1789A" w:rsidRPr="00D1789A">
        <w:t xml:space="preserve"> </w:t>
      </w:r>
      <w:r w:rsidR="00B45120">
        <w:t xml:space="preserve">both </w:t>
      </w:r>
      <w:r w:rsidR="00D1789A" w:rsidRPr="00D1789A">
        <w:t xml:space="preserve">up and </w:t>
      </w:r>
      <w:r w:rsidR="00B45120">
        <w:t>down</w:t>
      </w:r>
      <w:r>
        <w:t>,</w:t>
      </w:r>
      <w:r w:rsidR="00D1789A" w:rsidRPr="00D1789A">
        <w:t xml:space="preserve"> during the LTE V2</w:t>
      </w:r>
      <w:r w:rsidR="00B45120">
        <w:t>X</w:t>
      </w:r>
      <w:r w:rsidR="00D1789A" w:rsidRPr="00D1789A">
        <w:t xml:space="preserve"> receive period. </w:t>
      </w:r>
      <w:r w:rsidR="00B45120">
        <w:t xml:space="preserve">Improved receiver tolerance toward power fluctuation </w:t>
      </w:r>
      <w:r w:rsidR="00D1789A" w:rsidRPr="00D1789A">
        <w:t>c</w:t>
      </w:r>
      <w:r w:rsidR="00B45120">
        <w:t>an</w:t>
      </w:r>
      <w:r w:rsidR="00D1789A" w:rsidRPr="00D1789A">
        <w:t xml:space="preserve"> be achieved by using higher ADC headroom in the scenarios where power </w:t>
      </w:r>
      <w:r>
        <w:t>fluctuations</w:t>
      </w:r>
      <w:r w:rsidR="00D1789A" w:rsidRPr="00D1789A">
        <w:t xml:space="preserve"> can happen</w:t>
      </w:r>
      <w:r w:rsidR="00872C23">
        <w:t xml:space="preserve"> as t</w:t>
      </w:r>
      <w:r w:rsidR="00D1789A" w:rsidRPr="00D1789A">
        <w:t xml:space="preserve">his allows </w:t>
      </w:r>
      <w:r>
        <w:t xml:space="preserve">larger </w:t>
      </w:r>
      <w:r w:rsidR="00D1789A" w:rsidRPr="00D1789A">
        <w:t xml:space="preserve">signal power </w:t>
      </w:r>
      <w:r>
        <w:t>change</w:t>
      </w:r>
      <w:r w:rsidR="00872C23">
        <w:t>s</w:t>
      </w:r>
      <w:r w:rsidR="00D1789A" w:rsidRPr="00D1789A">
        <w:t xml:space="preserve"> upwards during the reception</w:t>
      </w:r>
      <w:r>
        <w:t xml:space="preserve"> without receiver compression</w:t>
      </w:r>
      <w:r w:rsidR="00D1789A" w:rsidRPr="00D1789A">
        <w:t>. Such receiver implementation will naturally require larger receiver</w:t>
      </w:r>
      <w:r w:rsidR="00B45120">
        <w:t xml:space="preserve"> and </w:t>
      </w:r>
      <w:r w:rsidR="00D1789A" w:rsidRPr="00D1789A">
        <w:t xml:space="preserve">ADC dynamic range as otherwise higher ADC headroom will </w:t>
      </w:r>
      <w:r w:rsidR="00B45120">
        <w:t xml:space="preserve">reduce the distance to </w:t>
      </w:r>
      <w:r w:rsidR="00D1789A" w:rsidRPr="00D1789A">
        <w:t>noise</w:t>
      </w:r>
      <w:r w:rsidR="00B45120">
        <w:t xml:space="preserve"> and may have</w:t>
      </w:r>
      <w:r w:rsidR="00872C23">
        <w:t xml:space="preserve"> negative</w:t>
      </w:r>
      <w:r w:rsidR="00B45120">
        <w:t xml:space="preserve"> impact on SNR</w:t>
      </w:r>
      <w:r w:rsidR="00D1789A" w:rsidRPr="00D1789A">
        <w:t xml:space="preserve">. This </w:t>
      </w:r>
      <w:r w:rsidR="00B45120">
        <w:t xml:space="preserve">kind of </w:t>
      </w:r>
      <w:r w:rsidR="00D1789A" w:rsidRPr="00D1789A">
        <w:t xml:space="preserve">improved </w:t>
      </w:r>
      <w:proofErr w:type="spellStart"/>
      <w:r w:rsidR="00B45120">
        <w:t>sidelink</w:t>
      </w:r>
      <w:proofErr w:type="spellEnd"/>
      <w:r w:rsidR="00B45120">
        <w:t xml:space="preserve"> reception </w:t>
      </w:r>
      <w:r w:rsidR="00D1789A" w:rsidRPr="00D1789A">
        <w:t>performance</w:t>
      </w:r>
      <w:r>
        <w:t xml:space="preserve"> or performance adaptation</w:t>
      </w:r>
      <w:r w:rsidR="00D1789A" w:rsidRPr="00D1789A">
        <w:t xml:space="preserve"> </w:t>
      </w:r>
      <w:r w:rsidR="00B45120">
        <w:t>could be introduced for UEs supporting NR V2X and LTE V2X co-channel coexistence and RAN4 should discuss the need for developing test case for this.</w:t>
      </w:r>
    </w:p>
    <w:p w14:paraId="5C1A2A01" w14:textId="22283ABA" w:rsidR="0029588B" w:rsidRPr="00D1789A" w:rsidRDefault="0029588B" w:rsidP="0029588B">
      <w:r w:rsidRPr="00314284">
        <w:rPr>
          <w:b/>
        </w:rPr>
        <w:t>Observation</w:t>
      </w:r>
      <w:r>
        <w:rPr>
          <w:b/>
        </w:rPr>
        <w:t xml:space="preserve"> 2</w:t>
      </w:r>
      <w:r w:rsidRPr="00314284">
        <w:rPr>
          <w:b/>
        </w:rPr>
        <w:t>:</w:t>
      </w:r>
      <w:r>
        <w:t xml:space="preserve"> Receiver performance improvement/adaptation can be used </w:t>
      </w:r>
      <w:r w:rsidR="00564F34">
        <w:t xml:space="preserve">to improve the immunity towards power changes that may happen during LTE V2X reception </w:t>
      </w:r>
      <w:r>
        <w:t xml:space="preserve">in </w:t>
      </w:r>
      <w:r w:rsidR="00872C23">
        <w:t xml:space="preserve">the </w:t>
      </w:r>
      <w:r>
        <w:t>device that can receive both LTE V2X and NR V2X simultaneously.</w:t>
      </w:r>
    </w:p>
    <w:p w14:paraId="447BCAA6" w14:textId="77777777" w:rsidR="0029588B" w:rsidRPr="00D1789A" w:rsidRDefault="0029588B" w:rsidP="00D1789A"/>
    <w:p w14:paraId="0157EC7D" w14:textId="060B4638" w:rsidR="00D1789A" w:rsidRPr="00D1789A" w:rsidRDefault="00D1789A" w:rsidP="00D1789A">
      <w:r w:rsidRPr="00D1789A">
        <w:t>The support for this improved</w:t>
      </w:r>
      <w:r w:rsidR="0029588B">
        <w:t>/adapted</w:t>
      </w:r>
      <w:r w:rsidRPr="00D1789A">
        <w:t xml:space="preserve"> capability could be tested in similar manner as Power imbalance performance test cases for LTE and NR V2X, but the dual RAT test scenario should include one LTE V2X </w:t>
      </w:r>
      <w:r w:rsidR="000B0CE3">
        <w:t>UE</w:t>
      </w:r>
      <w:r w:rsidRPr="00D1789A">
        <w:t xml:space="preserve"> and one or more co-channel NR V2X </w:t>
      </w:r>
      <w:r w:rsidR="000B0CE3">
        <w:t>UEs</w:t>
      </w:r>
      <w:r w:rsidRPr="00D1789A">
        <w:t xml:space="preserve"> with</w:t>
      </w:r>
      <w:r w:rsidR="000B0CE3">
        <w:t xml:space="preserve">, </w:t>
      </w:r>
      <w:r w:rsidRPr="00D1789A">
        <w:t>30kHz SCS (different numerology than LTE V2X)</w:t>
      </w:r>
      <w:r w:rsidR="00872C23">
        <w:t>. Depending on outcome of the RAN1 work</w:t>
      </w:r>
      <w:r w:rsidR="000B0CE3">
        <w:t xml:space="preserve"> i</w:t>
      </w:r>
      <w:r w:rsidRPr="00D1789A">
        <w:t>nactive slots</w:t>
      </w:r>
      <w:r w:rsidR="000B0CE3">
        <w:t>, s</w:t>
      </w:r>
      <w:r w:rsidRPr="00D1789A">
        <w:t>lots with</w:t>
      </w:r>
      <w:r w:rsidR="00872C23">
        <w:t xml:space="preserve"> and without</w:t>
      </w:r>
      <w:r w:rsidRPr="00D1789A">
        <w:t xml:space="preserve"> PSFCH</w:t>
      </w:r>
      <w:r w:rsidR="000B0CE3">
        <w:t>,</w:t>
      </w:r>
      <w:r w:rsidR="0054365A">
        <w:t xml:space="preserve"> </w:t>
      </w:r>
      <w:r w:rsidR="000B0CE3">
        <w:t xml:space="preserve">which cause the </w:t>
      </w:r>
      <w:r w:rsidR="00872C23">
        <w:t xml:space="preserve">total </w:t>
      </w:r>
      <w:r w:rsidR="000B0CE3">
        <w:t>received power to fluctuate during the LTE V2X receive period</w:t>
      </w:r>
      <w:r w:rsidR="00872C23">
        <w:t xml:space="preserve"> should also be considered.</w:t>
      </w:r>
    </w:p>
    <w:p w14:paraId="25181EE6" w14:textId="70C1E4E7" w:rsidR="00D1789A" w:rsidRPr="00D1789A" w:rsidRDefault="00D1789A" w:rsidP="00D1789A">
      <w:r w:rsidRPr="00D1789A">
        <w:t>The power imbalance performance requirements for single RAT defined in 36.101 clause 14.4 for LTE V2X and in 38.101-4 clause 11.1.6 for NR V2X require the receiver to tolerate ~17dB power imbalance for LTE V2</w:t>
      </w:r>
      <w:proofErr w:type="gramStart"/>
      <w:r w:rsidRPr="00D1789A">
        <w:t>X  (</w:t>
      </w:r>
      <w:proofErr w:type="gramEnd"/>
      <w:r w:rsidRPr="00D1789A">
        <w:t xml:space="preserve">Reference channel </w:t>
      </w:r>
      <w:r w:rsidRPr="00D1789A">
        <w:rPr>
          <w:lang w:eastAsia="zh-CN"/>
        </w:rPr>
        <w:t>CD.10 with 3 RBs 20M 15kHz SCS)</w:t>
      </w:r>
      <w:r w:rsidRPr="00D1789A">
        <w:t xml:space="preserve"> and ~25dB for NR V2X (Reference channel </w:t>
      </w:r>
      <w:r w:rsidRPr="00D1789A">
        <w:rPr>
          <w:lang w:eastAsia="zh-CN"/>
        </w:rPr>
        <w:t>R.PSSCH.2-1.4 with 10 RBs 20M 30kHz SCS)</w:t>
      </w:r>
      <w:r w:rsidRPr="00D1789A">
        <w:t>.</w:t>
      </w:r>
      <w:r w:rsidR="000B0CE3">
        <w:t xml:space="preserve"> The above-mentioned power imbalance values could be used as starting point for test case definition.</w:t>
      </w:r>
    </w:p>
    <w:p w14:paraId="2DC3C5BA" w14:textId="50BE6B94" w:rsidR="00564F34" w:rsidRDefault="00564F34" w:rsidP="00D1789A">
      <w:r>
        <w:rPr>
          <w:b/>
        </w:rPr>
        <w:t>Proposal 1</w:t>
      </w:r>
      <w:r w:rsidRPr="00314284">
        <w:rPr>
          <w:b/>
        </w:rPr>
        <w:t>:</w:t>
      </w:r>
      <w:r>
        <w:t xml:space="preserve"> Received power imbalance performance test cases have been defined for LTE V2X and NR V2X. RAN4 to discuss and analyse the need for same kind of test case</w:t>
      </w:r>
      <w:r w:rsidR="0054365A">
        <w:t xml:space="preserve"> </w:t>
      </w:r>
      <w:r w:rsidR="0054365A">
        <w:t>for LTE V2X and NR V2X co-channel coexistence.</w:t>
      </w:r>
      <w:r w:rsidR="0054365A">
        <w:t xml:space="preserve"> D</w:t>
      </w:r>
      <w:r w:rsidR="0054365A">
        <w:t>epending on outcome of RAN1 co-channel coexistence work</w:t>
      </w:r>
      <w:r w:rsidR="0054365A">
        <w:t>, immunity towards</w:t>
      </w:r>
      <w:r>
        <w:t xml:space="preserve"> power fluctuation during the LTE V2X receive period</w:t>
      </w:r>
      <w:r w:rsidR="0054365A">
        <w:t xml:space="preserve"> could also be tested. </w:t>
      </w:r>
    </w:p>
    <w:p w14:paraId="7016FC09" w14:textId="7F06A2A5" w:rsidR="000B0CE3" w:rsidRDefault="00D1789A" w:rsidP="00D1789A">
      <w:r w:rsidRPr="00D1789A">
        <w:t xml:space="preserve">In addition to improvements in receiver performance </w:t>
      </w:r>
      <w:r w:rsidR="000B0CE3">
        <w:t>some</w:t>
      </w:r>
      <w:r w:rsidRPr="00D1789A">
        <w:t xml:space="preserve"> improvement could </w:t>
      </w:r>
      <w:r w:rsidR="000B0CE3">
        <w:t xml:space="preserve">also </w:t>
      </w:r>
      <w:r w:rsidRPr="00D1789A">
        <w:t>be implemented to the transmitter side.</w:t>
      </w:r>
      <w:r w:rsidR="000B0CE3">
        <w:t xml:space="preserve"> As discussed above the main challenge for the receiver is the power fluctuation during the receive period and also the large power level difference between the signal components within the channel, which both stress the dynamic range of the receiver and ADC.</w:t>
      </w:r>
    </w:p>
    <w:p w14:paraId="0C628DBE" w14:textId="1EF4F5F1" w:rsidR="00D1789A" w:rsidRPr="00D1789A" w:rsidRDefault="00D1789A" w:rsidP="00D1789A">
      <w:r w:rsidRPr="00D1789A">
        <w:t>The AGC algorithm in the receiver adjusts the power of the received signal to meet the target level at the ADC input during the AGC symbols based on the total received power P1+</w:t>
      </w:r>
      <w:r w:rsidR="000B0CE3">
        <w:t>…</w:t>
      </w:r>
      <w:r w:rsidRPr="00D1789A">
        <w:t>P</w:t>
      </w:r>
      <w:r w:rsidR="000B0CE3">
        <w:t>n</w:t>
      </w:r>
      <w:r w:rsidRPr="00D1789A">
        <w:t xml:space="preserve">+N+I, where P1 </w:t>
      </w:r>
      <w:r w:rsidR="000B0CE3">
        <w:t>to</w:t>
      </w:r>
      <w:r w:rsidRPr="00D1789A">
        <w:t xml:space="preserve"> </w:t>
      </w:r>
      <w:proofErr w:type="spellStart"/>
      <w:r w:rsidRPr="00D1789A">
        <w:t>P</w:t>
      </w:r>
      <w:r w:rsidR="000B0CE3">
        <w:t>n</w:t>
      </w:r>
      <w:proofErr w:type="spellEnd"/>
      <w:r w:rsidRPr="00D1789A">
        <w:t xml:space="preserve"> are the received powers of LTE and NR signals, N is noise and I is any interference that may be present. For example, in the case that P1 is significantly stronger than </w:t>
      </w:r>
      <w:r w:rsidR="000B0CE3">
        <w:t>other signals, including</w:t>
      </w:r>
      <w:r w:rsidRPr="00D1789A">
        <w:t xml:space="preserve"> </w:t>
      </w:r>
      <w:r w:rsidR="000B0CE3">
        <w:t xml:space="preserve">noise and interference </w:t>
      </w:r>
      <w:r w:rsidRPr="00D1789A">
        <w:t>the AGC adjust</w:t>
      </w:r>
      <w:r w:rsidR="000B0CE3">
        <w:t>s</w:t>
      </w:r>
      <w:r w:rsidRPr="00D1789A">
        <w:t xml:space="preserve"> the ADC input power primarily based on P1, which may lead to compromised SNR for the </w:t>
      </w:r>
      <w:r w:rsidR="000B0CE3">
        <w:t>other input signal components</w:t>
      </w:r>
      <w:r w:rsidRPr="00D1789A">
        <w:t xml:space="preserve">. In real operating scenarios the power level difference between the two received signals may be very large due to near-far effect and as there is no </w:t>
      </w:r>
      <w:proofErr w:type="spellStart"/>
      <w:r w:rsidRPr="00D1789A">
        <w:t>sidelink</w:t>
      </w:r>
      <w:proofErr w:type="spellEnd"/>
      <w:r w:rsidRPr="00D1789A">
        <w:t xml:space="preserve"> power control in LTE V2X. It is possible that UE transmitting the LTE V2X </w:t>
      </w:r>
      <w:proofErr w:type="spellStart"/>
      <w:r w:rsidRPr="00D1789A">
        <w:t>sidelink</w:t>
      </w:r>
      <w:proofErr w:type="spellEnd"/>
      <w:r w:rsidRPr="00D1789A">
        <w:t xml:space="preserve"> signal is close to the receiving UE and the UE transmitting the NR V2X signal is further away from the receiver, which results in LTE V2X signal power being significantly larger than the NR V2X signal power at the receiver input. If </w:t>
      </w:r>
      <w:proofErr w:type="spellStart"/>
      <w:r w:rsidRPr="00D1789A">
        <w:t>sidelink</w:t>
      </w:r>
      <w:proofErr w:type="spellEnd"/>
      <w:r w:rsidRPr="00D1789A">
        <w:t xml:space="preserve"> power control is enabled for the NR V2X </w:t>
      </w:r>
      <w:proofErr w:type="spellStart"/>
      <w:r w:rsidRPr="00D1789A">
        <w:t>sidelink</w:t>
      </w:r>
      <w:proofErr w:type="spellEnd"/>
      <w:r w:rsidRPr="00D1789A">
        <w:t xml:space="preserve"> the received power difference may be further amplified as NR V2X UE </w:t>
      </w:r>
      <w:r w:rsidR="008A49F9">
        <w:t>will then</w:t>
      </w:r>
      <w:r w:rsidRPr="00D1789A">
        <w:t xml:space="preserve"> adjust the output power based on the </w:t>
      </w:r>
      <w:proofErr w:type="spellStart"/>
      <w:r w:rsidRPr="00D1789A">
        <w:t>sidelink</w:t>
      </w:r>
      <w:proofErr w:type="spellEnd"/>
      <w:r w:rsidRPr="00D1789A">
        <w:t xml:space="preserve"> path loss (PL</w:t>
      </w:r>
      <w:r w:rsidRPr="00D1789A">
        <w:rPr>
          <w:vertAlign w:val="subscript"/>
        </w:rPr>
        <w:t>SL</w:t>
      </w:r>
      <w:r w:rsidRPr="00D1789A">
        <w:t xml:space="preserve">= </w:t>
      </w:r>
      <w:proofErr w:type="gramStart"/>
      <w:r w:rsidRPr="00D1789A">
        <w:t>mean(</w:t>
      </w:r>
      <w:proofErr w:type="gramEnd"/>
      <w:r w:rsidRPr="00D1789A">
        <w:t>P</w:t>
      </w:r>
      <w:r w:rsidRPr="00D1789A">
        <w:rPr>
          <w:vertAlign w:val="subscript"/>
        </w:rPr>
        <w:t>TX, PSSCH DMRS</w:t>
      </w:r>
      <w:r w:rsidRPr="00D1789A">
        <w:t>) – mean(P</w:t>
      </w:r>
      <w:r w:rsidRPr="00D1789A">
        <w:rPr>
          <w:vertAlign w:val="subscript"/>
        </w:rPr>
        <w:t>RSRP</w:t>
      </w:r>
      <w:r w:rsidRPr="00D1789A">
        <w:t>)).</w:t>
      </w:r>
    </w:p>
    <w:p w14:paraId="45D43D20" w14:textId="368BEF19" w:rsidR="00D1789A" w:rsidRPr="00D1789A" w:rsidRDefault="00D1789A" w:rsidP="00D1789A">
      <w:r w:rsidRPr="00D1789A">
        <w:t xml:space="preserve">The possible power level difference between the co-channel LTE V2X and NR V2X signals could be minimized by taking the received power of the LTE V2X signal and power of other received signals into account in the </w:t>
      </w:r>
      <w:proofErr w:type="spellStart"/>
      <w:r w:rsidRPr="00D1789A">
        <w:t>sidelink</w:t>
      </w:r>
      <w:proofErr w:type="spellEnd"/>
      <w:r w:rsidRPr="00D1789A">
        <w:t xml:space="preserve"> power control for the NR V2X signal as shown in equation below.</w:t>
      </w:r>
    </w:p>
    <w:p w14:paraId="18A3C688" w14:textId="126C5C6A" w:rsidR="00D1789A" w:rsidRPr="00D1789A" w:rsidRDefault="00D1789A" w:rsidP="00D1789A">
      <w:r w:rsidRPr="00D1789A">
        <w:t>P</w:t>
      </w:r>
      <w:r w:rsidRPr="00D1789A">
        <w:rPr>
          <w:vertAlign w:val="subscript"/>
        </w:rPr>
        <w:t>PSSCH</w:t>
      </w:r>
      <w:r w:rsidRPr="00D1789A">
        <w:t xml:space="preserve"> = </w:t>
      </w:r>
      <w:proofErr w:type="gramStart"/>
      <w:r w:rsidRPr="00D1789A">
        <w:t>min(</w:t>
      </w:r>
      <w:proofErr w:type="gramEnd"/>
      <w:r w:rsidRPr="00D1789A">
        <w:t>P</w:t>
      </w:r>
      <w:r w:rsidRPr="00D1789A">
        <w:rPr>
          <w:vertAlign w:val="subscript"/>
        </w:rPr>
        <w:t>MAX</w:t>
      </w:r>
      <w:r w:rsidRPr="00D1789A">
        <w:t xml:space="preserve"> ,P</w:t>
      </w:r>
      <w:r w:rsidRPr="00D1789A">
        <w:rPr>
          <w:vertAlign w:val="subscript"/>
        </w:rPr>
        <w:t>0,SL</w:t>
      </w:r>
      <w:r w:rsidRPr="00D1789A">
        <w:t xml:space="preserve"> + 10 log10(2</w:t>
      </w:r>
      <w:r w:rsidRPr="00D1789A">
        <w:rPr>
          <w:vertAlign w:val="superscript"/>
        </w:rPr>
        <w:t>µ</w:t>
      </w:r>
      <w:r w:rsidRPr="00D1789A">
        <w:t xml:space="preserve"> M</w:t>
      </w:r>
      <w:r w:rsidRPr="00D1789A">
        <w:rPr>
          <w:vertAlign w:val="subscript"/>
        </w:rPr>
        <w:t>PSSCH</w:t>
      </w:r>
      <w:r w:rsidRPr="00D1789A">
        <w:t xml:space="preserve">) + </w:t>
      </w:r>
      <w:r w:rsidRPr="00D1789A">
        <w:rPr>
          <w:rFonts w:ascii="Cambria Math" w:hAnsi="Cambria Math" w:cs="Cambria Math"/>
        </w:rPr>
        <w:t>𝛼</w:t>
      </w:r>
      <w:r w:rsidRPr="00D1789A">
        <w:rPr>
          <w:vertAlign w:val="subscript"/>
        </w:rPr>
        <w:t>SL</w:t>
      </w:r>
      <w:r w:rsidRPr="00D1789A">
        <w:t xml:space="preserve"> PL</w:t>
      </w:r>
      <w:r w:rsidRPr="00D1789A">
        <w:rPr>
          <w:vertAlign w:val="subscript"/>
        </w:rPr>
        <w:t xml:space="preserve">SL </w:t>
      </w:r>
      <w:r w:rsidRPr="00D1789A">
        <w:t>+ P</w:t>
      </w:r>
      <w:r w:rsidRPr="00D1789A">
        <w:rPr>
          <w:vertAlign w:val="subscript"/>
        </w:rPr>
        <w:t>OFFSET</w:t>
      </w:r>
      <w:r w:rsidRPr="00D1789A">
        <w:t>)</w:t>
      </w:r>
    </w:p>
    <w:p w14:paraId="2AC49793" w14:textId="73319618" w:rsidR="005545E3" w:rsidRDefault="00D1789A" w:rsidP="008A49F9">
      <w:r w:rsidRPr="00D1789A">
        <w:t>The P</w:t>
      </w:r>
      <w:r w:rsidRPr="00D1789A">
        <w:rPr>
          <w:vertAlign w:val="subscript"/>
        </w:rPr>
        <w:t>OFFSET</w:t>
      </w:r>
      <w:r w:rsidRPr="00D1789A">
        <w:t xml:space="preserve"> in the formula above would be adjusted by the receiving UE in a way that minimizes the power difference of the received signals or to adjust the SNR of received signals to reach sufficient receiver performance. P</w:t>
      </w:r>
      <w:r w:rsidRPr="00D1789A">
        <w:rPr>
          <w:vertAlign w:val="subscript"/>
        </w:rPr>
        <w:t xml:space="preserve">OFFSET </w:t>
      </w:r>
      <w:r w:rsidRPr="00D1789A">
        <w:t xml:space="preserve">is then </w:t>
      </w:r>
      <w:r w:rsidR="008A49F9" w:rsidRPr="00D1789A">
        <w:t>signalled</w:t>
      </w:r>
      <w:r w:rsidRPr="00D1789A">
        <w:t xml:space="preserve"> to transmitting devices the same way as other power control related parameters. Introduction of the P</w:t>
      </w:r>
      <w:r w:rsidRPr="00D1789A">
        <w:rPr>
          <w:vertAlign w:val="subscript"/>
        </w:rPr>
        <w:t>OFFSET</w:t>
      </w:r>
      <w:r w:rsidRPr="00D1789A">
        <w:t xml:space="preserve"> parameter to the formula that defines the P</w:t>
      </w:r>
      <w:r w:rsidRPr="00D1789A">
        <w:rPr>
          <w:vertAlign w:val="subscript"/>
        </w:rPr>
        <w:t>PSSCH</w:t>
      </w:r>
      <w:r w:rsidRPr="00D1789A">
        <w:t xml:space="preserve"> converts the open loop power control into a closed loop power control scheme that can be used to improve the receiver performance in cases where received is experiencing large power imbalance between the incoming co-channel signals.</w:t>
      </w:r>
    </w:p>
    <w:p w14:paraId="50580EAE" w14:textId="3DDFD1CD" w:rsidR="00564F34" w:rsidRPr="008A49F9" w:rsidRDefault="00564F34" w:rsidP="008A49F9">
      <w:r w:rsidRPr="00314284">
        <w:rPr>
          <w:b/>
        </w:rPr>
        <w:t>Observation</w:t>
      </w:r>
      <w:r>
        <w:rPr>
          <w:b/>
        </w:rPr>
        <w:t xml:space="preserve"> 3</w:t>
      </w:r>
      <w:r w:rsidRPr="00314284">
        <w:rPr>
          <w:b/>
        </w:rPr>
        <w:t>:</w:t>
      </w:r>
      <w:r>
        <w:t xml:space="preserve"> </w:t>
      </w:r>
      <w:r w:rsidR="00397A0F">
        <w:t>Enhanced</w:t>
      </w:r>
      <w:r>
        <w:t xml:space="preserve"> NR V2X power control could be used to reduce the </w:t>
      </w:r>
      <w:r w:rsidR="00397A0F">
        <w:t xml:space="preserve">received </w:t>
      </w:r>
      <w:r>
        <w:t>power imbalance between LTE V2X and NR V2X signals</w:t>
      </w:r>
      <w:r w:rsidR="00397A0F">
        <w:t xml:space="preserve"> in certain scenarios</w:t>
      </w:r>
      <w:r>
        <w:t>.</w:t>
      </w:r>
    </w:p>
    <w:p w14:paraId="2C53869C" w14:textId="06578E6E" w:rsidR="00085703" w:rsidRPr="00D1789A" w:rsidRDefault="00085703" w:rsidP="00085703">
      <w:pPr>
        <w:spacing w:after="120"/>
        <w:rPr>
          <w:color w:val="000000" w:themeColor="text1"/>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725815BC" w14:textId="77777777" w:rsidR="00564F34" w:rsidRPr="00D1789A" w:rsidRDefault="00564F34" w:rsidP="00564F34">
      <w:r w:rsidRPr="00314284">
        <w:rPr>
          <w:b/>
        </w:rPr>
        <w:t>Observation</w:t>
      </w:r>
      <w:r>
        <w:rPr>
          <w:b/>
        </w:rPr>
        <w:t xml:space="preserve"> 1</w:t>
      </w:r>
      <w:r w:rsidRPr="00314284">
        <w:rPr>
          <w:b/>
        </w:rPr>
        <w:t>:</w:t>
      </w:r>
      <w:r>
        <w:t xml:space="preserve"> Even if there are no power fluctuations during the LTE V2X receive period the power imbalance between the LTE V2X and NR V2X signals may impact the reception performance of the weaker signal and may need to be further discussed in RAN4.</w:t>
      </w:r>
    </w:p>
    <w:p w14:paraId="42909707" w14:textId="2950D52A" w:rsidR="00564F34" w:rsidRDefault="00564F34" w:rsidP="00564F34">
      <w:r w:rsidRPr="00314284">
        <w:rPr>
          <w:b/>
        </w:rPr>
        <w:t>Observation</w:t>
      </w:r>
      <w:r>
        <w:rPr>
          <w:b/>
        </w:rPr>
        <w:t xml:space="preserve"> 2</w:t>
      </w:r>
      <w:r w:rsidRPr="00314284">
        <w:rPr>
          <w:b/>
        </w:rPr>
        <w:t>:</w:t>
      </w:r>
      <w:r>
        <w:t xml:space="preserve"> Receiver performance improvement/adaptation can be used to improve the immunity towards power changes that may happen during LTE V2X reception in device that can receive both LTE V2X and NR V2X simultaneously.</w:t>
      </w:r>
    </w:p>
    <w:p w14:paraId="269735B1" w14:textId="77777777" w:rsidR="002845B7" w:rsidRDefault="002845B7" w:rsidP="002845B7">
      <w:r>
        <w:rPr>
          <w:b/>
        </w:rPr>
        <w:lastRenderedPageBreak/>
        <w:t>Proposal 1</w:t>
      </w:r>
      <w:r w:rsidRPr="00314284">
        <w:rPr>
          <w:b/>
        </w:rPr>
        <w:t>:</w:t>
      </w:r>
      <w:r>
        <w:t xml:space="preserve"> Received power imbalance performance test cases have been defined for LTE V2X and NR V2X. RAN4 to discuss and analyse the need for same kind of test case for LTE V2X and NR V2X co-channel coexistence. Depending on outcome of RAN1 co-channel coexistence work, immunity towards power fluctuation during the LTE V2X receive period could also be tested. </w:t>
      </w:r>
    </w:p>
    <w:p w14:paraId="3A9C1199" w14:textId="05DC24AB" w:rsidR="002845B7" w:rsidRDefault="002845B7" w:rsidP="00564F34">
      <w:r w:rsidRPr="00314284">
        <w:rPr>
          <w:b/>
        </w:rPr>
        <w:t>Observation</w:t>
      </w:r>
      <w:r>
        <w:rPr>
          <w:b/>
        </w:rPr>
        <w:t xml:space="preserve"> 3</w:t>
      </w:r>
      <w:r w:rsidRPr="00314284">
        <w:rPr>
          <w:b/>
        </w:rPr>
        <w:t>:</w:t>
      </w:r>
      <w:r>
        <w:t xml:space="preserve"> Enhanced NR V2X power control could be used to reduce the received power imbalance between LTE V2X and NR V2X signals in certain scenarios.</w:t>
      </w:r>
    </w:p>
    <w:p w14:paraId="67FFCDAD" w14:textId="77777777" w:rsidR="00085703" w:rsidRPr="00231178" w:rsidRDefault="00085703" w:rsidP="00085703">
      <w:pPr>
        <w:spacing w:after="120"/>
        <w:rPr>
          <w:color w:val="000000" w:themeColor="text1"/>
          <w:szCs w:val="24"/>
          <w:lang w:val="en-US" w:eastAsia="zh-CN"/>
        </w:rPr>
      </w:pPr>
    </w:p>
    <w:p w14:paraId="38E0B2F8" w14:textId="3454ACE4" w:rsidR="003C6303" w:rsidRPr="00231178" w:rsidRDefault="003C6303" w:rsidP="003C6303">
      <w:pPr>
        <w:pStyle w:val="Heading1"/>
        <w:rPr>
          <w:lang w:val="en-US" w:eastAsia="zh-CN"/>
        </w:rPr>
      </w:pPr>
      <w:r w:rsidRPr="00231178">
        <w:rPr>
          <w:lang w:val="en-US" w:eastAsia="zh-CN"/>
        </w:rPr>
        <w:t>References</w:t>
      </w:r>
    </w:p>
    <w:p w14:paraId="44A0C923" w14:textId="1E58548F" w:rsidR="00DF21BE" w:rsidRDefault="00DF21BE" w:rsidP="00DF21BE">
      <w:pPr>
        <w:rPr>
          <w:lang w:val="en-US" w:eastAsia="zh-CN"/>
        </w:rPr>
      </w:pPr>
      <w:r w:rsidRPr="00FC38E4">
        <w:rPr>
          <w:lang w:val="en-US" w:eastAsia="zh-CN"/>
        </w:rPr>
        <w:t>[</w:t>
      </w:r>
      <w:r>
        <w:rPr>
          <w:lang w:val="en-US" w:eastAsia="zh-CN"/>
        </w:rPr>
        <w:t>1</w:t>
      </w:r>
      <w:r w:rsidRPr="00FC38E4">
        <w:rPr>
          <w:lang w:val="en-US" w:eastAsia="zh-CN"/>
        </w:rPr>
        <w:t>]</w:t>
      </w:r>
      <w:r w:rsidRPr="00FC38E4">
        <w:rPr>
          <w:lang w:val="en-US" w:eastAsia="zh-CN"/>
        </w:rPr>
        <w:tab/>
        <w:t xml:space="preserve">RP-222806, WID on NR </w:t>
      </w:r>
      <w:proofErr w:type="spellStart"/>
      <w:r w:rsidRPr="00FC38E4">
        <w:rPr>
          <w:lang w:val="en-US" w:eastAsia="zh-CN"/>
        </w:rPr>
        <w:t>sidelink</w:t>
      </w:r>
      <w:proofErr w:type="spellEnd"/>
      <w:r w:rsidRPr="00FC38E4">
        <w:rPr>
          <w:lang w:val="en-US" w:eastAsia="zh-CN"/>
        </w:rPr>
        <w:t xml:space="preserve"> evolution, 3GPP TSG RAN#98-e</w:t>
      </w:r>
    </w:p>
    <w:p w14:paraId="64061314" w14:textId="4119C67B" w:rsidR="00FC38E4" w:rsidRDefault="00FC38E4" w:rsidP="00DF21BE">
      <w:pPr>
        <w:rPr>
          <w:lang w:val="en-US" w:eastAsia="zh-CN"/>
        </w:rPr>
      </w:pPr>
      <w:r w:rsidRPr="00231178">
        <w:rPr>
          <w:lang w:val="en-US" w:eastAsia="zh-CN"/>
        </w:rPr>
        <w:t>[</w:t>
      </w:r>
      <w:r w:rsidR="00DF21BE">
        <w:rPr>
          <w:lang w:val="en-US" w:eastAsia="zh-CN"/>
        </w:rPr>
        <w:t>2</w:t>
      </w:r>
      <w:r w:rsidRPr="00231178">
        <w:rPr>
          <w:lang w:val="en-US" w:eastAsia="zh-CN"/>
        </w:rPr>
        <w:t>]</w:t>
      </w:r>
      <w:r w:rsidRPr="00231178">
        <w:rPr>
          <w:lang w:val="en-US" w:eastAsia="zh-CN"/>
        </w:rPr>
        <w:tab/>
        <w:t>R4-2302839, Topic summary for [</w:t>
      </w:r>
      <w:proofErr w:type="gramStart"/>
      <w:r w:rsidRPr="00231178">
        <w:rPr>
          <w:lang w:val="en-US" w:eastAsia="zh-CN"/>
        </w:rPr>
        <w:t>106][</w:t>
      </w:r>
      <w:proofErr w:type="gramEnd"/>
      <w:r w:rsidRPr="00231178">
        <w:rPr>
          <w:lang w:val="en-US" w:eastAsia="zh-CN"/>
        </w:rPr>
        <w:t>146] NR_SL_enh2_UERF, Moderator (LGE)</w:t>
      </w:r>
      <w:r>
        <w:rPr>
          <w:lang w:val="en-US" w:eastAsia="zh-CN"/>
        </w:rPr>
        <w:t xml:space="preserve">, </w:t>
      </w:r>
    </w:p>
    <w:p w14:paraId="6A4E17F9" w14:textId="3241C5E5" w:rsidR="00E04DDA" w:rsidRDefault="00FC38E4" w:rsidP="003C6303">
      <w:pPr>
        <w:rPr>
          <w:lang w:val="en-US" w:eastAsia="zh-CN"/>
        </w:rPr>
      </w:pPr>
      <w:r w:rsidRPr="00E04DDA">
        <w:rPr>
          <w:lang w:val="en-US" w:eastAsia="zh-CN"/>
        </w:rPr>
        <w:t>[</w:t>
      </w:r>
      <w:r w:rsidR="00DF21BE">
        <w:rPr>
          <w:lang w:val="en-US" w:eastAsia="zh-CN"/>
        </w:rPr>
        <w:t>3</w:t>
      </w:r>
      <w:r w:rsidRPr="00E04DDA">
        <w:rPr>
          <w:lang w:val="en-US" w:eastAsia="zh-CN"/>
        </w:rPr>
        <w:t>] R4-2303568</w:t>
      </w:r>
      <w:r>
        <w:rPr>
          <w:lang w:val="en-US" w:eastAsia="zh-CN"/>
        </w:rPr>
        <w:t xml:space="preserve">, </w:t>
      </w:r>
      <w:r w:rsidRPr="00E04DDA">
        <w:rPr>
          <w:lang w:val="en-US" w:eastAsia="zh-CN"/>
        </w:rPr>
        <w:t xml:space="preserve">WF on NR </w:t>
      </w:r>
      <w:proofErr w:type="spellStart"/>
      <w:r w:rsidRPr="00E04DDA">
        <w:rPr>
          <w:lang w:val="en-US" w:eastAsia="zh-CN"/>
        </w:rPr>
        <w:t>sidelink</w:t>
      </w:r>
      <w:proofErr w:type="spellEnd"/>
      <w:r w:rsidRPr="00E04DDA">
        <w:rPr>
          <w:lang w:val="en-US" w:eastAsia="zh-CN"/>
        </w:rPr>
        <w:t xml:space="preserve"> evolution</w:t>
      </w:r>
      <w:r>
        <w:rPr>
          <w:lang w:val="en-US" w:eastAsia="zh-CN"/>
        </w:rPr>
        <w:t xml:space="preserve">, </w:t>
      </w:r>
      <w:r w:rsidRPr="00FC38E4">
        <w:rPr>
          <w:lang w:val="en-US" w:eastAsia="zh-CN"/>
        </w:rPr>
        <w:t>Moderator (LG</w:t>
      </w:r>
      <w:r>
        <w:rPr>
          <w:lang w:val="en-US" w:eastAsia="zh-CN"/>
        </w:rPr>
        <w:t>E</w:t>
      </w:r>
      <w:r w:rsidRPr="00FC38E4">
        <w:rPr>
          <w:lang w:val="en-US" w:eastAsia="zh-CN"/>
        </w:rPr>
        <w:t>)</w:t>
      </w:r>
      <w:r>
        <w:rPr>
          <w:lang w:val="en-US" w:eastAsia="zh-CN"/>
        </w:rPr>
        <w:t>,</w:t>
      </w:r>
      <w:r w:rsidRPr="00FC38E4">
        <w:rPr>
          <w:lang w:val="en-US" w:eastAsia="zh-CN"/>
        </w:rPr>
        <w:t xml:space="preserve"> 3GPP TSG</w:t>
      </w:r>
      <w:r>
        <w:rPr>
          <w:lang w:val="en-US" w:eastAsia="zh-CN"/>
        </w:rPr>
        <w:t xml:space="preserve"> </w:t>
      </w:r>
      <w:r w:rsidRPr="00FC38E4">
        <w:rPr>
          <w:lang w:val="en-US" w:eastAsia="zh-CN"/>
        </w:rPr>
        <w:t>RAN WG4#106</w:t>
      </w:r>
    </w:p>
    <w:p w14:paraId="1387B387" w14:textId="3E082EA6" w:rsidR="00085703" w:rsidRDefault="00D1789A" w:rsidP="00D1789A">
      <w:pPr>
        <w:rPr>
          <w:lang w:val="en-US" w:eastAsia="zh-CN"/>
        </w:rPr>
      </w:pPr>
      <w:r>
        <w:rPr>
          <w:lang w:val="en-US" w:eastAsia="zh-CN"/>
        </w:rPr>
        <w:t>[</w:t>
      </w:r>
      <w:r w:rsidR="00FC38E4">
        <w:rPr>
          <w:lang w:val="en-US" w:eastAsia="zh-CN"/>
        </w:rPr>
        <w:t>4</w:t>
      </w:r>
      <w:r>
        <w:rPr>
          <w:lang w:val="en-US" w:eastAsia="zh-CN"/>
        </w:rPr>
        <w:t xml:space="preserve">] </w:t>
      </w:r>
      <w:r w:rsidR="00FC38E4" w:rsidRPr="00FC38E4">
        <w:rPr>
          <w:lang w:val="en-US" w:eastAsia="zh-CN"/>
        </w:rPr>
        <w:t>R4-2301418</w:t>
      </w:r>
      <w:r w:rsidR="00FC38E4">
        <w:rPr>
          <w:lang w:val="en-US" w:eastAsia="zh-CN"/>
        </w:rPr>
        <w:t xml:space="preserve">, </w:t>
      </w:r>
      <w:r w:rsidR="00FC38E4" w:rsidRPr="00FC38E4">
        <w:rPr>
          <w:lang w:val="en-US" w:eastAsia="zh-CN"/>
        </w:rPr>
        <w:t>RRM and RF Requirements for SL LTE-NR co-channel coexistence</w:t>
      </w:r>
      <w:r w:rsidR="00FC38E4">
        <w:rPr>
          <w:lang w:val="en-US" w:eastAsia="zh-CN"/>
        </w:rPr>
        <w:t xml:space="preserve">, </w:t>
      </w:r>
      <w:r w:rsidR="00FC38E4" w:rsidRPr="00FC38E4">
        <w:rPr>
          <w:lang w:val="en-US" w:eastAsia="zh-CN"/>
        </w:rPr>
        <w:t>Nokia, Nokia Shanghai Bell</w:t>
      </w:r>
      <w:r w:rsidR="00FC38E4">
        <w:rPr>
          <w:lang w:val="en-US" w:eastAsia="zh-CN"/>
        </w:rPr>
        <w:t xml:space="preserve">, </w:t>
      </w:r>
      <w:r w:rsidR="00FC38E4" w:rsidRPr="00FC38E4">
        <w:rPr>
          <w:lang w:val="en-US" w:eastAsia="zh-CN"/>
        </w:rPr>
        <w:t>3GPP TSG</w:t>
      </w:r>
      <w:r w:rsidR="00FC38E4">
        <w:rPr>
          <w:lang w:val="en-US" w:eastAsia="zh-CN"/>
        </w:rPr>
        <w:t xml:space="preserve"> </w:t>
      </w:r>
      <w:r w:rsidR="00FC38E4" w:rsidRPr="00FC38E4">
        <w:rPr>
          <w:lang w:val="en-US" w:eastAsia="zh-CN"/>
        </w:rPr>
        <w:t>RAN WG4#106</w:t>
      </w:r>
    </w:p>
    <w:sectPr w:rsidR="000857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345D6" w14:textId="77777777" w:rsidR="000845F2" w:rsidRDefault="000845F2">
      <w:r>
        <w:separator/>
      </w:r>
    </w:p>
  </w:endnote>
  <w:endnote w:type="continuationSeparator" w:id="0">
    <w:p w14:paraId="59EEE7C5" w14:textId="77777777" w:rsidR="000845F2" w:rsidRDefault="0008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90744" w14:textId="77777777" w:rsidR="000845F2" w:rsidRDefault="000845F2">
      <w:r>
        <w:separator/>
      </w:r>
    </w:p>
  </w:footnote>
  <w:footnote w:type="continuationSeparator" w:id="0">
    <w:p w14:paraId="3A9C7324" w14:textId="77777777" w:rsidR="000845F2" w:rsidRDefault="00084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67CC8"/>
    <w:multiLevelType w:val="hybridMultilevel"/>
    <w:tmpl w:val="7F88F30C"/>
    <w:lvl w:ilvl="0" w:tplc="6B2604E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FE2D8A"/>
    <w:multiLevelType w:val="hybridMultilevel"/>
    <w:tmpl w:val="80B6408A"/>
    <w:lvl w:ilvl="0" w:tplc="DE08569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105558"/>
    <w:multiLevelType w:val="multilevel"/>
    <w:tmpl w:val="B4549C76"/>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21C1432"/>
    <w:multiLevelType w:val="multilevel"/>
    <w:tmpl w:val="FD44E754"/>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31"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2"/>
  </w:num>
  <w:num w:numId="4">
    <w:abstractNumId w:val="29"/>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0"/>
  </w:num>
  <w:num w:numId="18">
    <w:abstractNumId w:val="7"/>
  </w:num>
  <w:num w:numId="19">
    <w:abstractNumId w:val="6"/>
  </w:num>
  <w:num w:numId="20">
    <w:abstractNumId w:val="4"/>
  </w:num>
  <w:num w:numId="21">
    <w:abstractNumId w:val="20"/>
  </w:num>
  <w:num w:numId="22">
    <w:abstractNumId w:val="20"/>
  </w:num>
  <w:num w:numId="23">
    <w:abstractNumId w:val="12"/>
  </w:num>
  <w:num w:numId="24">
    <w:abstractNumId w:val="0"/>
  </w:num>
  <w:num w:numId="25">
    <w:abstractNumId w:val="17"/>
  </w:num>
  <w:num w:numId="26">
    <w:abstractNumId w:val="1"/>
  </w:num>
  <w:num w:numId="27">
    <w:abstractNumId w:val="19"/>
  </w:num>
  <w:num w:numId="28">
    <w:abstractNumId w:val="18"/>
  </w:num>
  <w:num w:numId="29">
    <w:abstractNumId w:val="21"/>
  </w:num>
  <w:num w:numId="30">
    <w:abstractNumId w:val="3"/>
  </w:num>
  <w:num w:numId="31">
    <w:abstractNumId w:val="8"/>
  </w:num>
  <w:num w:numId="32">
    <w:abstractNumId w:val="25"/>
  </w:num>
  <w:num w:numId="33">
    <w:abstractNumId w:val="27"/>
  </w:num>
  <w:num w:numId="34">
    <w:abstractNumId w:val="16"/>
  </w:num>
  <w:num w:numId="35">
    <w:abstractNumId w:val="14"/>
  </w:num>
  <w:num w:numId="36">
    <w:abstractNumId w:val="22"/>
  </w:num>
  <w:num w:numId="37">
    <w:abstractNumId w:val="31"/>
  </w:num>
  <w:num w:numId="38">
    <w:abstractNumId w:val="24"/>
  </w:num>
  <w:num w:numId="39">
    <w:abstractNumId w:val="28"/>
  </w:num>
  <w:num w:numId="40">
    <w:abstractNumId w:val="9"/>
  </w:num>
  <w:num w:numId="41">
    <w:abstractNumId w:val="23"/>
  </w:num>
  <w:num w:numId="42">
    <w:abstractNumId w:val="15"/>
  </w:num>
  <w:num w:numId="43">
    <w:abstractNumId w:val="5"/>
  </w:num>
  <w:num w:numId="44">
    <w:abstractNumId w:val="13"/>
  </w:num>
  <w:num w:numId="45">
    <w:abstractNumId w:val="26"/>
  </w:num>
  <w:num w:numId="4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33D"/>
    <w:rsid w:val="00077FF6"/>
    <w:rsid w:val="00080D82"/>
    <w:rsid w:val="00081692"/>
    <w:rsid w:val="0008257C"/>
    <w:rsid w:val="00082C46"/>
    <w:rsid w:val="000845F2"/>
    <w:rsid w:val="00085703"/>
    <w:rsid w:val="00085A0E"/>
    <w:rsid w:val="00087548"/>
    <w:rsid w:val="00093E7E"/>
    <w:rsid w:val="000A1830"/>
    <w:rsid w:val="000A4121"/>
    <w:rsid w:val="000A4AA3"/>
    <w:rsid w:val="000A550E"/>
    <w:rsid w:val="000A6E27"/>
    <w:rsid w:val="000B0960"/>
    <w:rsid w:val="000B0CE3"/>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4423"/>
    <w:rsid w:val="00107927"/>
    <w:rsid w:val="00110E26"/>
    <w:rsid w:val="00111321"/>
    <w:rsid w:val="001128E7"/>
    <w:rsid w:val="001179B7"/>
    <w:rsid w:val="00117BD6"/>
    <w:rsid w:val="001206C2"/>
    <w:rsid w:val="00121978"/>
    <w:rsid w:val="00123422"/>
    <w:rsid w:val="00124B6A"/>
    <w:rsid w:val="00130462"/>
    <w:rsid w:val="0013295D"/>
    <w:rsid w:val="00134FD9"/>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255CD"/>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45B7"/>
    <w:rsid w:val="002858BF"/>
    <w:rsid w:val="002939AF"/>
    <w:rsid w:val="00294491"/>
    <w:rsid w:val="00294BDE"/>
    <w:rsid w:val="0029588B"/>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4284"/>
    <w:rsid w:val="00315867"/>
    <w:rsid w:val="003167BA"/>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E37"/>
    <w:rsid w:val="003903A1"/>
    <w:rsid w:val="00393042"/>
    <w:rsid w:val="00394AD5"/>
    <w:rsid w:val="0039642D"/>
    <w:rsid w:val="00397A0F"/>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93803"/>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6BFD"/>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4365A"/>
    <w:rsid w:val="00551A22"/>
    <w:rsid w:val="005545E3"/>
    <w:rsid w:val="00564F34"/>
    <w:rsid w:val="00571777"/>
    <w:rsid w:val="00574EBF"/>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60F1"/>
    <w:rsid w:val="005F727E"/>
    <w:rsid w:val="006016E1"/>
    <w:rsid w:val="00602D27"/>
    <w:rsid w:val="006047EB"/>
    <w:rsid w:val="006144A1"/>
    <w:rsid w:val="00615EBB"/>
    <w:rsid w:val="00616096"/>
    <w:rsid w:val="006160A2"/>
    <w:rsid w:val="006226F5"/>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715"/>
    <w:rsid w:val="00786916"/>
    <w:rsid w:val="00786921"/>
    <w:rsid w:val="0079318B"/>
    <w:rsid w:val="007A1EAA"/>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3E9A"/>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2C23"/>
    <w:rsid w:val="0087332D"/>
    <w:rsid w:val="00873E1F"/>
    <w:rsid w:val="00874C16"/>
    <w:rsid w:val="0087622C"/>
    <w:rsid w:val="00886D1F"/>
    <w:rsid w:val="00891EE1"/>
    <w:rsid w:val="00893987"/>
    <w:rsid w:val="008963EF"/>
    <w:rsid w:val="0089688E"/>
    <w:rsid w:val="008A05DC"/>
    <w:rsid w:val="008A1C3C"/>
    <w:rsid w:val="008A1FBE"/>
    <w:rsid w:val="008A49F9"/>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2A09"/>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2C44"/>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4395"/>
    <w:rsid w:val="00A97648"/>
    <w:rsid w:val="00AA0C7D"/>
    <w:rsid w:val="00AA1CFD"/>
    <w:rsid w:val="00AA2239"/>
    <w:rsid w:val="00AA33D2"/>
    <w:rsid w:val="00AB0C57"/>
    <w:rsid w:val="00AB1195"/>
    <w:rsid w:val="00AB4182"/>
    <w:rsid w:val="00AC27DB"/>
    <w:rsid w:val="00AC58C0"/>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31D2C"/>
    <w:rsid w:val="00B4108D"/>
    <w:rsid w:val="00B45120"/>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74FD"/>
    <w:rsid w:val="00BC11E9"/>
    <w:rsid w:val="00BC5982"/>
    <w:rsid w:val="00BC60BF"/>
    <w:rsid w:val="00BD28BF"/>
    <w:rsid w:val="00BD2D12"/>
    <w:rsid w:val="00BD6404"/>
    <w:rsid w:val="00BE313C"/>
    <w:rsid w:val="00BE33AE"/>
    <w:rsid w:val="00BE490E"/>
    <w:rsid w:val="00BE51DB"/>
    <w:rsid w:val="00BF046F"/>
    <w:rsid w:val="00BF7EC1"/>
    <w:rsid w:val="00C01D50"/>
    <w:rsid w:val="00C03084"/>
    <w:rsid w:val="00C056DC"/>
    <w:rsid w:val="00C1329B"/>
    <w:rsid w:val="00C14CAA"/>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1CE"/>
    <w:rsid w:val="00C63557"/>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1789A"/>
    <w:rsid w:val="00D3188C"/>
    <w:rsid w:val="00D35F9B"/>
    <w:rsid w:val="00D36B69"/>
    <w:rsid w:val="00D408DD"/>
    <w:rsid w:val="00D45D72"/>
    <w:rsid w:val="00D470A0"/>
    <w:rsid w:val="00D47599"/>
    <w:rsid w:val="00D520E4"/>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21BE"/>
    <w:rsid w:val="00DF5EE3"/>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38E4"/>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unhideWhenUsed/>
    <w:rsid w:val="00D1789A"/>
    <w:pPr>
      <w:spacing w:after="120"/>
      <w:ind w:left="283"/>
    </w:pPr>
  </w:style>
  <w:style w:type="character" w:customStyle="1" w:styleId="BodyTextIndentChar">
    <w:name w:val="Body Text Indent Char"/>
    <w:basedOn w:val="DefaultParagraphFont"/>
    <w:link w:val="BodyTextIndent"/>
    <w:rsid w:val="00D1789A"/>
    <w:rPr>
      <w:lang w:val="en-GB" w:eastAsia="en-US"/>
    </w:rPr>
  </w:style>
  <w:style w:type="character" w:customStyle="1" w:styleId="normaltextrun">
    <w:name w:val="normaltextrun"/>
    <w:basedOn w:val="DefaultParagraphFont"/>
    <w:rsid w:val="00DF21BE"/>
  </w:style>
  <w:style w:type="character" w:customStyle="1" w:styleId="eop">
    <w:name w:val="eop"/>
    <w:basedOn w:val="DefaultParagraphFont"/>
    <w:rsid w:val="00DF2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144DF-336E-4D69-B1DA-D4B2AE32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5</Pages>
  <Words>1875</Words>
  <Characters>10692</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7</cp:revision>
  <cp:lastPrinted>2019-04-25T01:09:00Z</cp:lastPrinted>
  <dcterms:created xsi:type="dcterms:W3CDTF">2023-04-09T12:40:00Z</dcterms:created>
  <dcterms:modified xsi:type="dcterms:W3CDTF">2023-04-09T20:26:00Z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